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CF05F8" w14:textId="300C473E" w:rsidR="009E53B0" w:rsidRPr="00E23FCA" w:rsidRDefault="009E53B0" w:rsidP="009E53B0">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92</w:t>
      </w:r>
      <w:r w:rsidR="00080CFE">
        <w:rPr>
          <w:rFonts w:cs="Arial"/>
          <w:bCs/>
          <w:noProof w:val="0"/>
          <w:sz w:val="24"/>
          <w:szCs w:val="24"/>
          <w:lang w:val="de-DE"/>
        </w:rPr>
        <w:t>bis</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551579" w:rsidRPr="001A6C65">
        <w:rPr>
          <w:i/>
          <w:noProof w:val="0"/>
          <w:sz w:val="24"/>
          <w:szCs w:val="24"/>
          <w:lang w:val="de-DE"/>
        </w:rPr>
        <w:t>R1-</w:t>
      </w:r>
      <w:r w:rsidR="001A6C65" w:rsidRPr="001A6C65">
        <w:rPr>
          <w:i/>
          <w:noProof w:val="0"/>
          <w:sz w:val="24"/>
          <w:szCs w:val="24"/>
          <w:lang w:val="de-DE"/>
        </w:rPr>
        <w:t>1804402</w:t>
      </w:r>
    </w:p>
    <w:p w14:paraId="2124B5B1" w14:textId="77777777" w:rsidR="009E53B0" w:rsidRDefault="00E95DD6" w:rsidP="009E53B0">
      <w:pPr>
        <w:tabs>
          <w:tab w:val="left" w:pos="1985"/>
        </w:tabs>
        <w:spacing w:after="120"/>
        <w:rPr>
          <w:rFonts w:ascii="Arial" w:eastAsia="MS Mincho" w:hAnsi="Arial" w:cs="Arial"/>
          <w:b/>
          <w:bCs/>
          <w:sz w:val="24"/>
          <w:szCs w:val="24"/>
          <w:lang w:val="de-DE" w:eastAsia="en-US"/>
        </w:rPr>
      </w:pPr>
      <w:r>
        <w:rPr>
          <w:rFonts w:ascii="Arial" w:eastAsia="MS Mincho" w:hAnsi="Arial" w:cs="Arial"/>
          <w:b/>
          <w:bCs/>
          <w:sz w:val="24"/>
          <w:szCs w:val="24"/>
          <w:lang w:val="de-DE" w:eastAsia="en-US"/>
        </w:rPr>
        <w:t>Sanya</w:t>
      </w:r>
      <w:r w:rsidR="009E53B0">
        <w:rPr>
          <w:rFonts w:ascii="Arial" w:eastAsia="MS Mincho" w:hAnsi="Arial" w:cs="Arial"/>
          <w:b/>
          <w:bCs/>
          <w:sz w:val="24"/>
          <w:szCs w:val="24"/>
          <w:lang w:val="de-DE" w:eastAsia="en-US"/>
        </w:rPr>
        <w:t xml:space="preserve">, </w:t>
      </w:r>
      <w:r>
        <w:rPr>
          <w:rFonts w:ascii="Arial" w:eastAsia="MS Mincho" w:hAnsi="Arial" w:cs="Arial"/>
          <w:b/>
          <w:bCs/>
          <w:sz w:val="24"/>
          <w:szCs w:val="24"/>
          <w:lang w:val="de-DE" w:eastAsia="en-US"/>
        </w:rPr>
        <w:t>China</w:t>
      </w:r>
      <w:r w:rsidR="009E53B0">
        <w:rPr>
          <w:rFonts w:ascii="Arial" w:eastAsia="MS Mincho" w:hAnsi="Arial" w:cs="Arial"/>
          <w:b/>
          <w:bCs/>
          <w:sz w:val="24"/>
          <w:szCs w:val="24"/>
          <w:lang w:val="de-DE" w:eastAsia="en-US"/>
        </w:rPr>
        <w:t>,</w:t>
      </w:r>
      <w:r w:rsidR="004263FD">
        <w:rPr>
          <w:rFonts w:ascii="Arial" w:eastAsia="MS Mincho" w:hAnsi="Arial" w:cs="Arial"/>
          <w:b/>
          <w:bCs/>
          <w:sz w:val="24"/>
          <w:szCs w:val="24"/>
          <w:lang w:val="de-DE" w:eastAsia="en-US"/>
        </w:rPr>
        <w:t xml:space="preserve"> </w:t>
      </w:r>
      <w:r>
        <w:rPr>
          <w:rFonts w:ascii="Arial" w:eastAsia="MS Mincho" w:hAnsi="Arial" w:cs="Arial"/>
          <w:b/>
          <w:bCs/>
          <w:sz w:val="24"/>
          <w:szCs w:val="24"/>
          <w:lang w:val="de-DE" w:eastAsia="en-US"/>
        </w:rPr>
        <w:t>April 16th</w:t>
      </w:r>
      <w:r w:rsidR="00F2763D">
        <w:rPr>
          <w:rFonts w:ascii="Arial" w:eastAsia="MS Mincho" w:hAnsi="Arial" w:cs="Arial"/>
          <w:b/>
          <w:bCs/>
          <w:sz w:val="24"/>
          <w:szCs w:val="24"/>
          <w:lang w:val="de-DE" w:eastAsia="en-US"/>
        </w:rPr>
        <w:t xml:space="preserve"> </w:t>
      </w:r>
      <w:r w:rsidR="00FB5D57">
        <w:rPr>
          <w:rFonts w:ascii="Arial" w:eastAsia="MS Mincho" w:hAnsi="Arial" w:cs="Arial"/>
          <w:b/>
          <w:bCs/>
          <w:sz w:val="24"/>
          <w:szCs w:val="24"/>
          <w:lang w:val="de-DE" w:eastAsia="en-US"/>
        </w:rPr>
        <w:t>–</w:t>
      </w:r>
      <w:r w:rsidR="00F2763D">
        <w:rPr>
          <w:rFonts w:ascii="Arial" w:eastAsia="MS Mincho" w:hAnsi="Arial" w:cs="Arial"/>
          <w:b/>
          <w:bCs/>
          <w:sz w:val="24"/>
          <w:szCs w:val="24"/>
          <w:lang w:val="de-DE" w:eastAsia="en-US"/>
        </w:rPr>
        <w:t xml:space="preserve"> </w:t>
      </w:r>
      <w:r>
        <w:rPr>
          <w:rFonts w:ascii="Arial" w:eastAsia="MS Mincho" w:hAnsi="Arial" w:cs="Arial"/>
          <w:b/>
          <w:bCs/>
          <w:sz w:val="24"/>
          <w:szCs w:val="24"/>
          <w:lang w:val="de-DE" w:eastAsia="en-US"/>
        </w:rPr>
        <w:t>April</w:t>
      </w:r>
      <w:r w:rsidR="00FB5D57">
        <w:rPr>
          <w:rFonts w:ascii="Arial" w:eastAsia="MS Mincho" w:hAnsi="Arial" w:cs="Arial"/>
          <w:b/>
          <w:bCs/>
          <w:sz w:val="24"/>
          <w:szCs w:val="24"/>
          <w:lang w:val="de-DE" w:eastAsia="en-US"/>
        </w:rPr>
        <w:t xml:space="preserve"> </w:t>
      </w:r>
      <w:r w:rsidR="00F2763D">
        <w:rPr>
          <w:rFonts w:ascii="Arial" w:eastAsia="MS Mincho" w:hAnsi="Arial" w:cs="Arial"/>
          <w:b/>
          <w:bCs/>
          <w:sz w:val="24"/>
          <w:szCs w:val="24"/>
          <w:lang w:val="de-DE" w:eastAsia="en-US"/>
        </w:rPr>
        <w:t>2</w:t>
      </w:r>
      <w:r>
        <w:rPr>
          <w:rFonts w:ascii="Arial" w:eastAsia="MS Mincho" w:hAnsi="Arial" w:cs="Arial"/>
          <w:b/>
          <w:bCs/>
          <w:sz w:val="24"/>
          <w:szCs w:val="24"/>
          <w:lang w:val="de-DE" w:eastAsia="en-US"/>
        </w:rPr>
        <w:t>0th,</w:t>
      </w:r>
      <w:r w:rsidR="00F2763D" w:rsidRPr="003D163E">
        <w:rPr>
          <w:rFonts w:ascii="Arial" w:eastAsia="MS Mincho" w:hAnsi="Arial" w:cs="Arial"/>
          <w:b/>
          <w:bCs/>
          <w:sz w:val="24"/>
          <w:szCs w:val="24"/>
          <w:lang w:val="de-DE" w:eastAsia="en-US"/>
        </w:rPr>
        <w:t xml:space="preserve"> </w:t>
      </w:r>
      <w:r w:rsidR="004263FD">
        <w:rPr>
          <w:rFonts w:ascii="Arial" w:eastAsia="MS Mincho" w:hAnsi="Arial" w:cs="Arial"/>
          <w:b/>
          <w:bCs/>
          <w:sz w:val="24"/>
          <w:szCs w:val="24"/>
          <w:lang w:val="de-DE" w:eastAsia="en-US"/>
        </w:rPr>
        <w:t>2018</w:t>
      </w:r>
    </w:p>
    <w:p w14:paraId="185AFC6E" w14:textId="77777777" w:rsidR="00096B2C" w:rsidRPr="000322D7" w:rsidRDefault="009E53B0" w:rsidP="00096B2C">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625EA6">
        <w:rPr>
          <w:rFonts w:ascii="Arial" w:hAnsi="Arial"/>
          <w:sz w:val="22"/>
          <w:szCs w:val="22"/>
        </w:rPr>
        <w:t>7.6.1</w:t>
      </w:r>
    </w:p>
    <w:p w14:paraId="7592BE9E" w14:textId="77777777"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14:paraId="19A7B3DE" w14:textId="4DCD4B0B" w:rsidR="0075049F" w:rsidRPr="000322D7" w:rsidRDefault="0075049F" w:rsidP="000322D7">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5F3F64">
        <w:rPr>
          <w:rFonts w:ascii="Arial" w:hAnsi="Arial"/>
          <w:sz w:val="22"/>
          <w:szCs w:val="22"/>
        </w:rPr>
        <w:t>Simulation Methodology for NR</w:t>
      </w:r>
      <w:r w:rsidR="00956FDD">
        <w:rPr>
          <w:rFonts w:ascii="Arial" w:hAnsi="Arial"/>
          <w:sz w:val="22"/>
          <w:szCs w:val="22"/>
        </w:rPr>
        <w:t>-U</w:t>
      </w:r>
    </w:p>
    <w:p w14:paraId="51ABFC47" w14:textId="77777777" w:rsidR="0075049F" w:rsidRPr="006165AE" w:rsidRDefault="0075049F" w:rsidP="006165AE">
      <w:pPr>
        <w:tabs>
          <w:tab w:val="left" w:pos="1985"/>
        </w:tabs>
        <w:rPr>
          <w:rFonts w:ascii="Arial" w:eastAsia="맑은 고딕" w:hAnsi="Arial"/>
          <w:b/>
          <w:sz w:val="22"/>
          <w:lang w:val="en-GB" w:eastAsia="ko-KR"/>
        </w:rPr>
      </w:pPr>
      <w:r w:rsidRPr="006165AE">
        <w:rPr>
          <w:rFonts w:ascii="Arial" w:eastAsia="맑은 고딕" w:hAnsi="Arial"/>
          <w:b/>
          <w:sz w:val="22"/>
          <w:lang w:val="en-GB" w:eastAsia="ko-KR"/>
        </w:rPr>
        <w:t>Document for:</w:t>
      </w:r>
      <w:r w:rsidRPr="006165AE">
        <w:rPr>
          <w:rFonts w:ascii="Arial" w:eastAsia="맑은 고딕" w:hAnsi="Arial"/>
          <w:b/>
          <w:sz w:val="22"/>
          <w:lang w:val="en-GB" w:eastAsia="ko-KR"/>
        </w:rPr>
        <w:tab/>
      </w:r>
      <w:r w:rsidRPr="006165AE">
        <w:rPr>
          <w:rFonts w:ascii="Arial" w:eastAsia="맑은 고딕" w:hAnsi="Arial"/>
          <w:sz w:val="22"/>
          <w:lang w:val="en-GB" w:eastAsia="ko-KR"/>
        </w:rPr>
        <w:t xml:space="preserve">Discussion and </w:t>
      </w:r>
      <w:r w:rsidRPr="006165AE">
        <w:rPr>
          <w:rFonts w:ascii="Arial" w:eastAsia="맑은 고딕" w:hAnsi="Arial" w:hint="eastAsia"/>
          <w:sz w:val="22"/>
          <w:lang w:val="en-GB" w:eastAsia="ko-KR"/>
        </w:rPr>
        <w:t>D</w:t>
      </w:r>
      <w:r w:rsidRPr="006165AE">
        <w:rPr>
          <w:rFonts w:ascii="Arial" w:eastAsia="맑은 고딕" w:hAnsi="Arial"/>
          <w:sz w:val="22"/>
          <w:lang w:val="en-GB" w:eastAsia="ko-KR"/>
        </w:rPr>
        <w:t>ecision</w:t>
      </w:r>
    </w:p>
    <w:bookmarkEnd w:id="0"/>
    <w:bookmarkEnd w:id="1"/>
    <w:bookmarkEnd w:id="2"/>
    <w:p w14:paraId="4DFA0536" w14:textId="77777777" w:rsidR="00162A07" w:rsidRPr="006165AE" w:rsidRDefault="00162A07" w:rsidP="006165AE">
      <w:pPr>
        <w:pStyle w:val="Heading1"/>
        <w:numPr>
          <w:ilvl w:val="0"/>
          <w:numId w:val="11"/>
        </w:numPr>
        <w:pBdr>
          <w:top w:val="single" w:sz="12" w:space="3" w:color="auto"/>
        </w:pBdr>
        <w:tabs>
          <w:tab w:val="clear" w:pos="3222"/>
          <w:tab w:val="num" w:pos="432"/>
        </w:tabs>
        <w:ind w:left="432"/>
        <w:jc w:val="both"/>
        <w:rPr>
          <w:rFonts w:eastAsia="바탕"/>
          <w:sz w:val="32"/>
          <w:szCs w:val="32"/>
          <w:lang w:eastAsia="ko-KR"/>
        </w:rPr>
      </w:pPr>
      <w:r w:rsidRPr="006165AE">
        <w:rPr>
          <w:rFonts w:eastAsia="바탕"/>
          <w:sz w:val="32"/>
          <w:szCs w:val="32"/>
          <w:lang w:eastAsia="ko-KR"/>
        </w:rPr>
        <w:t>Introduction</w:t>
      </w:r>
    </w:p>
    <w:p w14:paraId="0BA6C528" w14:textId="77777777" w:rsidR="00867A42" w:rsidRDefault="0064397A" w:rsidP="0064397A">
      <w:pPr>
        <w:pStyle w:val="LGTdoc"/>
        <w:spacing w:before="120" w:afterLines="0" w:line="240" w:lineRule="auto"/>
        <w:rPr>
          <w:rFonts w:eastAsia="SimSun"/>
          <w:sz w:val="20"/>
          <w:szCs w:val="20"/>
          <w:lang w:eastAsia="zh-CN"/>
        </w:rPr>
      </w:pPr>
      <w:r>
        <w:rPr>
          <w:rFonts w:eastAsia="SimSun"/>
          <w:sz w:val="20"/>
          <w:szCs w:val="20"/>
          <w:lang w:eastAsia="zh-CN"/>
        </w:rPr>
        <w:t>In RAN1 #92 [1], the following agreements were made:</w:t>
      </w:r>
    </w:p>
    <w:p w14:paraId="17E64F86" w14:textId="77777777" w:rsidR="0064397A" w:rsidRDefault="00956FDD" w:rsidP="0064397A">
      <w:pPr>
        <w:pStyle w:val="LGTdoc"/>
        <w:spacing w:before="120" w:afterLines="0" w:line="240" w:lineRule="auto"/>
        <w:rPr>
          <w:rFonts w:eastAsia="SimSun"/>
          <w:sz w:val="20"/>
          <w:szCs w:val="20"/>
          <w:lang w:eastAsia="zh-CN"/>
        </w:rPr>
      </w:pPr>
      <w:r>
        <w:rPr>
          <w:rFonts w:eastAsia="MS Mincho"/>
          <w:noProof/>
          <w:lang w:val="en-US"/>
        </w:rPr>
        <mc:AlternateContent>
          <mc:Choice Requires="wps">
            <w:drawing>
              <wp:anchor distT="0" distB="0" distL="114300" distR="114300" simplePos="0" relativeHeight="251659264" behindDoc="0" locked="0" layoutInCell="1" allowOverlap="1" wp14:anchorId="4BDCE508" wp14:editId="744B45D6">
                <wp:simplePos x="0" y="0"/>
                <wp:positionH relativeFrom="margin">
                  <wp:align>right</wp:align>
                </wp:positionH>
                <wp:positionV relativeFrom="paragraph">
                  <wp:posOffset>54466</wp:posOffset>
                </wp:positionV>
                <wp:extent cx="6098291" cy="6070791"/>
                <wp:effectExtent l="0" t="0" r="17145" b="254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291" cy="607079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0C09A85" w14:textId="77777777" w:rsidR="00F77D53" w:rsidRPr="0064397A" w:rsidRDefault="00F77D53" w:rsidP="00F77D53">
                            <w:pPr>
                              <w:widowControl w:val="0"/>
                              <w:spacing w:after="0"/>
                              <w:jc w:val="both"/>
                              <w:rPr>
                                <w:sz w:val="18"/>
                              </w:rPr>
                            </w:pPr>
                            <w:r w:rsidRPr="0064397A">
                              <w:rPr>
                                <w:sz w:val="18"/>
                                <w:highlight w:val="green"/>
                              </w:rPr>
                              <w:t>Agreement:</w:t>
                            </w:r>
                          </w:p>
                          <w:p w14:paraId="07F4AFAB"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5GCM in 38.802 is used for NR-U simulation evaluation</w:t>
                            </w:r>
                          </w:p>
                          <w:p w14:paraId="5103F44F"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NR-unlicensed simulation evaluation considers the following scenarios</w:t>
                            </w:r>
                          </w:p>
                          <w:p w14:paraId="1FC05597"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Indoor sub-7GHz, 2 operators</w:t>
                            </w:r>
                          </w:p>
                          <w:p w14:paraId="30A041FF"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Outdoor Sub-7 GHz, 2 operators</w:t>
                            </w:r>
                          </w:p>
                          <w:p w14:paraId="0F1099B3"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Indoor mmW, 2 Operators</w:t>
                            </w:r>
                          </w:p>
                          <w:p w14:paraId="0AE51523"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Outdoor mmW, 2 operators</w:t>
                            </w:r>
                          </w:p>
                          <w:p w14:paraId="1168A088"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Stadium scenario for sub-7GHz, 2 operators, can be optionally considered by interested companies.</w:t>
                            </w:r>
                          </w:p>
                          <w:p w14:paraId="75E33973"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Note: RAN1 prioritizes the simulation for sub-7 GHz band. It does not preclude evaluation for above 7 GHz.</w:t>
                            </w:r>
                          </w:p>
                          <w:p w14:paraId="291FEBE3"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Deployment scenarios to simulate</w:t>
                            </w:r>
                          </w:p>
                          <w:p w14:paraId="48A927B9"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CA between NR licensed cell and NR unlicensed cell</w:t>
                            </w:r>
                          </w:p>
                          <w:p w14:paraId="1C65D042"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DC (with LTE and with NR)</w:t>
                            </w:r>
                          </w:p>
                          <w:p w14:paraId="08F3249C"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SA</w:t>
                            </w:r>
                          </w:p>
                          <w:p w14:paraId="72D023B9"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lang w:eastAsia="x-none"/>
                              </w:rPr>
                              <w:t>An NR cell with DL in unlicensed band and UL in licensed band</w:t>
                            </w:r>
                          </w:p>
                          <w:p w14:paraId="35F7731C"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Note: A single set of evaluations may be applicable to multiple scenarios</w:t>
                            </w:r>
                          </w:p>
                          <w:p w14:paraId="7107B93C"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Note: Only unlicensed cell(s) is simulated.</w:t>
                            </w:r>
                          </w:p>
                          <w:p w14:paraId="505A1840"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 xml:space="preserve">Note: The licensed cell may not be explicitly modeled in the simulation. Necessary assumptions regarding the presence of the licensed carriers can be made and provided. </w:t>
                            </w:r>
                          </w:p>
                          <w:p w14:paraId="2B6126FE"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Coexistence with other networks (e.g. WiFi, LAA LTE, NR-U)</w:t>
                            </w:r>
                          </w:p>
                          <w:p w14:paraId="4921ACA6"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When coexistence with WiFi is evaluated, only consider deployed WiFi systems (e.g. 11ac for 5 GHz)</w:t>
                            </w:r>
                          </w:p>
                          <w:p w14:paraId="2BE935FF" w14:textId="77777777" w:rsidR="00F77D53" w:rsidRPr="0064397A" w:rsidRDefault="00F77D53" w:rsidP="00F77D53">
                            <w:pPr>
                              <w:widowControl w:val="0"/>
                              <w:numPr>
                                <w:ilvl w:val="2"/>
                                <w:numId w:val="21"/>
                              </w:numPr>
                              <w:tabs>
                                <w:tab w:val="clear" w:pos="2160"/>
                              </w:tabs>
                              <w:spacing w:after="0"/>
                              <w:jc w:val="both"/>
                              <w:rPr>
                                <w:sz w:val="18"/>
                              </w:rPr>
                            </w:pPr>
                            <w:r w:rsidRPr="0064397A">
                              <w:rPr>
                                <w:sz w:val="18"/>
                              </w:rPr>
                              <w:t>Fairness criterion for coexistence with 11ax can be further discussed at plenary level</w:t>
                            </w:r>
                          </w:p>
                          <w:p w14:paraId="2CC93B60" w14:textId="77777777" w:rsidR="00F77D53" w:rsidRPr="0064397A" w:rsidRDefault="00F77D53" w:rsidP="00F77D53">
                            <w:pPr>
                              <w:widowControl w:val="0"/>
                              <w:numPr>
                                <w:ilvl w:val="2"/>
                                <w:numId w:val="21"/>
                              </w:numPr>
                              <w:tabs>
                                <w:tab w:val="clear" w:pos="2160"/>
                              </w:tabs>
                              <w:spacing w:after="0"/>
                              <w:jc w:val="both"/>
                              <w:rPr>
                                <w:sz w:val="18"/>
                              </w:rPr>
                            </w:pPr>
                            <w:r w:rsidRPr="0064397A">
                              <w:rPr>
                                <w:sz w:val="18"/>
                              </w:rPr>
                              <w:t>The coexistence evaluation applies to 5GHz band (11ac) and 60GHz (11ad)</w:t>
                            </w:r>
                          </w:p>
                          <w:p w14:paraId="3EF78D25" w14:textId="77777777" w:rsidR="00F77D53" w:rsidRPr="0064397A" w:rsidRDefault="00F77D53" w:rsidP="00F77D53">
                            <w:pPr>
                              <w:widowControl w:val="0"/>
                              <w:numPr>
                                <w:ilvl w:val="2"/>
                                <w:numId w:val="21"/>
                              </w:numPr>
                              <w:tabs>
                                <w:tab w:val="clear" w:pos="2160"/>
                              </w:tabs>
                              <w:spacing w:after="0"/>
                              <w:jc w:val="both"/>
                              <w:rPr>
                                <w:sz w:val="18"/>
                              </w:rPr>
                            </w:pPr>
                            <w:r w:rsidRPr="0064397A">
                              <w:rPr>
                                <w:sz w:val="18"/>
                              </w:rPr>
                              <w:t xml:space="preserve">From SID: </w:t>
                            </w:r>
                            <w:r w:rsidRPr="0064397A">
                              <w:rPr>
                                <w:bCs/>
                                <w:sz w:val="18"/>
                              </w:rPr>
                              <w:t>NR-based operation in unlicensed spectrum should not impact deployed Wi-Fi services (data, video and voice services) more than an additional Wi-Fi network on the same carrier</w:t>
                            </w:r>
                          </w:p>
                          <w:p w14:paraId="39EE91EB"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14:paraId="1060B72C" w14:textId="77777777" w:rsidR="00F77D53" w:rsidRDefault="00F77D53" w:rsidP="00F77D53">
                            <w:pPr>
                              <w:widowControl w:val="0"/>
                              <w:numPr>
                                <w:ilvl w:val="2"/>
                                <w:numId w:val="21"/>
                              </w:numPr>
                              <w:tabs>
                                <w:tab w:val="clear" w:pos="2160"/>
                              </w:tabs>
                              <w:spacing w:after="0"/>
                              <w:jc w:val="both"/>
                              <w:rPr>
                                <w:sz w:val="18"/>
                              </w:rPr>
                            </w:pPr>
                            <w:r w:rsidRPr="0064397A">
                              <w:rPr>
                                <w:sz w:val="18"/>
                              </w:rPr>
                              <w:t>Note: The study assumes regulation will provide the framework concerning the protection for the techonologies not using unlicensed access in those bands</w:t>
                            </w:r>
                          </w:p>
                          <w:p w14:paraId="695FBB72" w14:textId="77777777" w:rsidR="00F77D53" w:rsidRPr="0064397A" w:rsidRDefault="00F77D53" w:rsidP="00F77D53">
                            <w:pPr>
                              <w:widowControl w:val="0"/>
                              <w:spacing w:after="0"/>
                              <w:ind w:left="2160"/>
                              <w:jc w:val="both"/>
                              <w:rPr>
                                <w:sz w:val="18"/>
                              </w:rPr>
                            </w:pPr>
                          </w:p>
                          <w:p w14:paraId="18A6E18D" w14:textId="77777777" w:rsidR="00F77D53" w:rsidRPr="0064397A" w:rsidRDefault="00F77D53" w:rsidP="00F77D53">
                            <w:pPr>
                              <w:spacing w:after="0"/>
                              <w:rPr>
                                <w:sz w:val="18"/>
                              </w:rPr>
                            </w:pPr>
                            <w:r w:rsidRPr="0064397A">
                              <w:rPr>
                                <w:sz w:val="18"/>
                                <w:highlight w:val="green"/>
                              </w:rPr>
                              <w:t>Agreement:</w:t>
                            </w:r>
                          </w:p>
                          <w:p w14:paraId="5527AF98" w14:textId="77777777" w:rsidR="00F77D53" w:rsidRPr="0064397A" w:rsidRDefault="00F77D53" w:rsidP="00F77D53">
                            <w:pPr>
                              <w:spacing w:after="0"/>
                              <w:rPr>
                                <w:sz w:val="18"/>
                              </w:rPr>
                            </w:pPr>
                            <w:r w:rsidRPr="0064397A">
                              <w:rPr>
                                <w:sz w:val="18"/>
                              </w:rPr>
                              <w:t>The following network topologies are included in the evaluations:</w:t>
                            </w:r>
                          </w:p>
                          <w:p w14:paraId="6E883E18"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Indoor sub7GHz, choose one of the following options</w:t>
                            </w:r>
                          </w:p>
                          <w:p w14:paraId="7BC323CA"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Option 1: Reuse 38.802 indoor hotspot topology and allocating half of the gNBs to each operator (6+6)</w:t>
                            </w:r>
                          </w:p>
                          <w:p w14:paraId="0840ED01"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Option 2: Reuse 38.802 indoor hotspot topology but further reduce gNB density (3+3)</w:t>
                            </w:r>
                          </w:p>
                          <w:p w14:paraId="3DD0F324"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Option 3: Based on IEEE indoor enterprise model with modifications</w:t>
                            </w:r>
                          </w:p>
                          <w:p w14:paraId="140C7343"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Outdoor sub7GHz</w:t>
                            </w:r>
                          </w:p>
                          <w:p w14:paraId="3CAE9A3F"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NR dense urban scenario with two layers, but only consider the micro layer</w:t>
                            </w:r>
                          </w:p>
                          <w:p w14:paraId="1160329D"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Randomly drop one micro layer per operator</w:t>
                            </w:r>
                          </w:p>
                          <w:p w14:paraId="32826EB4"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Indoor mmW</w:t>
                            </w:r>
                          </w:p>
                          <w:p w14:paraId="50DDB5AC"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Reuse indoor sub7GHz topology</w:t>
                            </w:r>
                          </w:p>
                          <w:p w14:paraId="648F6FDC"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Parameter changes may be needed and submitted together with simulation results</w:t>
                            </w:r>
                          </w:p>
                          <w:p w14:paraId="6DC325BC"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Outdoor mmW</w:t>
                            </w:r>
                          </w:p>
                          <w:p w14:paraId="728B7CD4"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Reuse outdoor sub7GHz topology</w:t>
                            </w:r>
                          </w:p>
                          <w:p w14:paraId="6C40C1A1"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Parameter changes may be needed and submitted together with simulation results</w:t>
                            </w:r>
                          </w:p>
                          <w:p w14:paraId="0B513DFE" w14:textId="77777777" w:rsidR="00F77D53" w:rsidRPr="0064397A" w:rsidRDefault="00F77D53" w:rsidP="00F77D53">
                            <w:pPr>
                              <w:spacing w:after="0"/>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CE508" id="_x0000_t202" coordsize="21600,21600" o:spt="202" path="m,l,21600r21600,l21600,xe">
                <v:stroke joinstyle="miter"/>
                <v:path gradientshapeok="t" o:connecttype="rect"/>
              </v:shapetype>
              <v:shape id="Text Box 3" o:spid="_x0000_s1026" type="#_x0000_t202" style="position:absolute;left:0;text-align:left;margin-left:429pt;margin-top:4.3pt;width:480.2pt;height:47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">
                <v:textbox>
                  <w:txbxContent>
                    <w:p w14:paraId="50C09A85" w14:textId="77777777" w:rsidR="00F77D53" w:rsidRPr="0064397A" w:rsidRDefault="00F77D53" w:rsidP="00F77D53">
                      <w:pPr>
                        <w:widowControl w:val="0"/>
                        <w:spacing w:after="0"/>
                        <w:jc w:val="both"/>
                        <w:rPr>
                          <w:sz w:val="18"/>
                        </w:rPr>
                      </w:pPr>
                      <w:r w:rsidRPr="0064397A">
                        <w:rPr>
                          <w:sz w:val="18"/>
                          <w:highlight w:val="green"/>
                        </w:rPr>
                        <w:t>Agreement:</w:t>
                      </w:r>
                    </w:p>
                    <w:p w14:paraId="07F4AFAB"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5GCM in 38.802 is used for NR-U simulation evaluation</w:t>
                      </w:r>
                    </w:p>
                    <w:p w14:paraId="5103F44F"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NR-unlicensed simulation evaluation considers the following scenarios</w:t>
                      </w:r>
                    </w:p>
                    <w:p w14:paraId="1FC05597"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Indoor sub-7GHz, 2 operators</w:t>
                      </w:r>
                    </w:p>
                    <w:p w14:paraId="30A041FF"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Outdoor Sub-7 GHz, 2 operators</w:t>
                      </w:r>
                    </w:p>
                    <w:p w14:paraId="0F1099B3"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Indoor mmW, 2 Operators</w:t>
                      </w:r>
                    </w:p>
                    <w:p w14:paraId="0AE51523"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Outdoor mmW, 2 operators</w:t>
                      </w:r>
                    </w:p>
                    <w:p w14:paraId="1168A088"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Stadium scenario for sub-7GHz, 2 operators, can be optionally considered by interested companies.</w:t>
                      </w:r>
                    </w:p>
                    <w:p w14:paraId="75E33973"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Note: RAN1 prioritizes the simulation for sub-7 GHz band. It does not preclude evaluation for above 7 GHz.</w:t>
                      </w:r>
                    </w:p>
                    <w:p w14:paraId="291FEBE3"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Deployment scenarios to simulate</w:t>
                      </w:r>
                    </w:p>
                    <w:p w14:paraId="48A927B9"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CA between NR licensed cell and NR unlicensed cell</w:t>
                      </w:r>
                    </w:p>
                    <w:p w14:paraId="1C65D042"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DC (with LTE and with NR)</w:t>
                      </w:r>
                    </w:p>
                    <w:p w14:paraId="08F3249C"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SA</w:t>
                      </w:r>
                    </w:p>
                    <w:p w14:paraId="72D023B9"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lang w:eastAsia="x-none"/>
                        </w:rPr>
                        <w:t>An NR cell with DL in unlicensed band and UL in licensed band</w:t>
                      </w:r>
                    </w:p>
                    <w:p w14:paraId="35F7731C"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Note: A single set of evaluations may be applicable to multiple scenarios</w:t>
                      </w:r>
                    </w:p>
                    <w:p w14:paraId="7107B93C"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Note: Only unlicensed cell(s) is simulated.</w:t>
                      </w:r>
                    </w:p>
                    <w:p w14:paraId="505A1840"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 xml:space="preserve">Note: The licensed cell may not be explicitly modeled in the simulation. Necessary assumptions regarding the presence of the licensed carriers can be made and provided. </w:t>
                      </w:r>
                    </w:p>
                    <w:p w14:paraId="2B6126FE" w14:textId="77777777" w:rsidR="00F77D53" w:rsidRPr="0064397A" w:rsidRDefault="00F77D53" w:rsidP="00F77D53">
                      <w:pPr>
                        <w:widowControl w:val="0"/>
                        <w:numPr>
                          <w:ilvl w:val="0"/>
                          <w:numId w:val="21"/>
                        </w:numPr>
                        <w:tabs>
                          <w:tab w:val="clear" w:pos="720"/>
                        </w:tabs>
                        <w:spacing w:after="0"/>
                        <w:jc w:val="both"/>
                        <w:rPr>
                          <w:sz w:val="18"/>
                        </w:rPr>
                      </w:pPr>
                      <w:r w:rsidRPr="0064397A">
                        <w:rPr>
                          <w:sz w:val="18"/>
                        </w:rPr>
                        <w:t>Coexistence with other networks (e.g. WiFi, LAA LTE, NR-U)</w:t>
                      </w:r>
                    </w:p>
                    <w:p w14:paraId="4921ACA6"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When coexistence with WiFi is evaluated, only consider deployed WiFi systems (e.g. 11ac for 5 GHz)</w:t>
                      </w:r>
                    </w:p>
                    <w:p w14:paraId="2BE935FF" w14:textId="77777777" w:rsidR="00F77D53" w:rsidRPr="0064397A" w:rsidRDefault="00F77D53" w:rsidP="00F77D53">
                      <w:pPr>
                        <w:widowControl w:val="0"/>
                        <w:numPr>
                          <w:ilvl w:val="2"/>
                          <w:numId w:val="21"/>
                        </w:numPr>
                        <w:tabs>
                          <w:tab w:val="clear" w:pos="2160"/>
                        </w:tabs>
                        <w:spacing w:after="0"/>
                        <w:jc w:val="both"/>
                        <w:rPr>
                          <w:sz w:val="18"/>
                        </w:rPr>
                      </w:pPr>
                      <w:r w:rsidRPr="0064397A">
                        <w:rPr>
                          <w:sz w:val="18"/>
                        </w:rPr>
                        <w:t>Fairness criterion for coexistence with 11ax can be further discussed at plenary level</w:t>
                      </w:r>
                    </w:p>
                    <w:p w14:paraId="2CC93B60" w14:textId="77777777" w:rsidR="00F77D53" w:rsidRPr="0064397A" w:rsidRDefault="00F77D53" w:rsidP="00F77D53">
                      <w:pPr>
                        <w:widowControl w:val="0"/>
                        <w:numPr>
                          <w:ilvl w:val="2"/>
                          <w:numId w:val="21"/>
                        </w:numPr>
                        <w:tabs>
                          <w:tab w:val="clear" w:pos="2160"/>
                        </w:tabs>
                        <w:spacing w:after="0"/>
                        <w:jc w:val="both"/>
                        <w:rPr>
                          <w:sz w:val="18"/>
                        </w:rPr>
                      </w:pPr>
                      <w:r w:rsidRPr="0064397A">
                        <w:rPr>
                          <w:sz w:val="18"/>
                        </w:rPr>
                        <w:t>The coexistence evaluation applies to 5GHz band (11ac) and 60GHz (11ad)</w:t>
                      </w:r>
                    </w:p>
                    <w:p w14:paraId="3EF78D25" w14:textId="77777777" w:rsidR="00F77D53" w:rsidRPr="0064397A" w:rsidRDefault="00F77D53" w:rsidP="00F77D53">
                      <w:pPr>
                        <w:widowControl w:val="0"/>
                        <w:numPr>
                          <w:ilvl w:val="2"/>
                          <w:numId w:val="21"/>
                        </w:numPr>
                        <w:tabs>
                          <w:tab w:val="clear" w:pos="2160"/>
                        </w:tabs>
                        <w:spacing w:after="0"/>
                        <w:jc w:val="both"/>
                        <w:rPr>
                          <w:sz w:val="18"/>
                        </w:rPr>
                      </w:pPr>
                      <w:r w:rsidRPr="0064397A">
                        <w:rPr>
                          <w:sz w:val="18"/>
                        </w:rPr>
                        <w:t xml:space="preserve">From SID: </w:t>
                      </w:r>
                      <w:r w:rsidRPr="0064397A">
                        <w:rPr>
                          <w:bCs/>
                          <w:sz w:val="18"/>
                        </w:rPr>
                        <w:t>NR-based operation in unlicensed spectrum should not impact deployed Wi-Fi services (data, video and voice services) more than an additional Wi-Fi network on the same carrier</w:t>
                      </w:r>
                    </w:p>
                    <w:p w14:paraId="39EE91EB" w14:textId="77777777" w:rsidR="00F77D53" w:rsidRPr="0064397A" w:rsidRDefault="00F77D53" w:rsidP="00F77D53">
                      <w:pPr>
                        <w:widowControl w:val="0"/>
                        <w:numPr>
                          <w:ilvl w:val="1"/>
                          <w:numId w:val="21"/>
                        </w:numPr>
                        <w:tabs>
                          <w:tab w:val="clear" w:pos="1440"/>
                        </w:tabs>
                        <w:spacing w:after="0"/>
                        <w:jc w:val="both"/>
                        <w:rPr>
                          <w:sz w:val="18"/>
                        </w:rPr>
                      </w:pPr>
                      <w:r w:rsidRPr="0064397A">
                        <w:rPr>
                          <w:sz w:val="18"/>
                        </w:rP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14:paraId="1060B72C" w14:textId="77777777" w:rsidR="00F77D53" w:rsidRDefault="00F77D53" w:rsidP="00F77D53">
                      <w:pPr>
                        <w:widowControl w:val="0"/>
                        <w:numPr>
                          <w:ilvl w:val="2"/>
                          <w:numId w:val="21"/>
                        </w:numPr>
                        <w:tabs>
                          <w:tab w:val="clear" w:pos="2160"/>
                        </w:tabs>
                        <w:spacing w:after="0"/>
                        <w:jc w:val="both"/>
                        <w:rPr>
                          <w:sz w:val="18"/>
                        </w:rPr>
                      </w:pPr>
                      <w:r w:rsidRPr="0064397A">
                        <w:rPr>
                          <w:sz w:val="18"/>
                        </w:rPr>
                        <w:t>Note: The study assumes regulation will provide the framework concerning the protection for the techonologies not using unlicensed access in those bands</w:t>
                      </w:r>
                    </w:p>
                    <w:p w14:paraId="695FBB72" w14:textId="77777777" w:rsidR="00F77D53" w:rsidRPr="0064397A" w:rsidRDefault="00F77D53" w:rsidP="00F77D53">
                      <w:pPr>
                        <w:widowControl w:val="0"/>
                        <w:spacing w:after="0"/>
                        <w:ind w:left="2160"/>
                        <w:jc w:val="both"/>
                        <w:rPr>
                          <w:sz w:val="18"/>
                        </w:rPr>
                      </w:pPr>
                    </w:p>
                    <w:p w14:paraId="18A6E18D" w14:textId="77777777" w:rsidR="00F77D53" w:rsidRPr="0064397A" w:rsidRDefault="00F77D53" w:rsidP="00F77D53">
                      <w:pPr>
                        <w:spacing w:after="0"/>
                        <w:rPr>
                          <w:sz w:val="18"/>
                        </w:rPr>
                      </w:pPr>
                      <w:r w:rsidRPr="0064397A">
                        <w:rPr>
                          <w:sz w:val="18"/>
                          <w:highlight w:val="green"/>
                        </w:rPr>
                        <w:t>Agreement:</w:t>
                      </w:r>
                    </w:p>
                    <w:p w14:paraId="5527AF98" w14:textId="77777777" w:rsidR="00F77D53" w:rsidRPr="0064397A" w:rsidRDefault="00F77D53" w:rsidP="00F77D53">
                      <w:pPr>
                        <w:spacing w:after="0"/>
                        <w:rPr>
                          <w:sz w:val="18"/>
                        </w:rPr>
                      </w:pPr>
                      <w:r w:rsidRPr="0064397A">
                        <w:rPr>
                          <w:sz w:val="18"/>
                        </w:rPr>
                        <w:t>The following network topologies are included in the evaluations:</w:t>
                      </w:r>
                    </w:p>
                    <w:p w14:paraId="6E883E18"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Indoor sub7GHz, choose one of the following options</w:t>
                      </w:r>
                    </w:p>
                    <w:p w14:paraId="7BC323CA"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Option 1: Reuse 38.802 indoor hotspot topology and allocating half of the gNBs to each operator (6+6)</w:t>
                      </w:r>
                    </w:p>
                    <w:p w14:paraId="0840ED01"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Option 2: Reuse 38.802 indoor hotspot topology but further reduce gNB density (3+3)</w:t>
                      </w:r>
                    </w:p>
                    <w:p w14:paraId="3DD0F324"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Option 3: Based on IEEE indoor enterprise model with modifications</w:t>
                      </w:r>
                    </w:p>
                    <w:p w14:paraId="140C7343"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Outdoor sub7GHz</w:t>
                      </w:r>
                    </w:p>
                    <w:p w14:paraId="3CAE9A3F"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NR dense urban scenario with two layers, but only consider the micro layer</w:t>
                      </w:r>
                    </w:p>
                    <w:p w14:paraId="1160329D"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Randomly drop one micro layer per operator</w:t>
                      </w:r>
                    </w:p>
                    <w:p w14:paraId="32826EB4"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Indoor mmW</w:t>
                      </w:r>
                    </w:p>
                    <w:p w14:paraId="50DDB5AC"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Reuse indoor sub7GHz topology</w:t>
                      </w:r>
                    </w:p>
                    <w:p w14:paraId="648F6FDC"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Parameter changes may be needed and submitted together with simulation results</w:t>
                      </w:r>
                    </w:p>
                    <w:p w14:paraId="6DC325BC" w14:textId="77777777" w:rsidR="00F77D53" w:rsidRPr="0064397A" w:rsidRDefault="00F77D53" w:rsidP="00F77D53">
                      <w:pPr>
                        <w:pStyle w:val="ListParagraph"/>
                        <w:widowControl w:val="0"/>
                        <w:numPr>
                          <w:ilvl w:val="0"/>
                          <w:numId w:val="22"/>
                        </w:numPr>
                        <w:spacing w:after="0"/>
                        <w:ind w:firstLineChars="0"/>
                        <w:contextualSpacing/>
                        <w:jc w:val="both"/>
                        <w:rPr>
                          <w:sz w:val="18"/>
                          <w:lang w:eastAsia="en-US"/>
                        </w:rPr>
                      </w:pPr>
                      <w:r w:rsidRPr="0064397A">
                        <w:rPr>
                          <w:sz w:val="18"/>
                          <w:lang w:eastAsia="en-US"/>
                        </w:rPr>
                        <w:t>Outdoor mmW</w:t>
                      </w:r>
                    </w:p>
                    <w:p w14:paraId="728B7CD4"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Reuse outdoor sub7GHz topology</w:t>
                      </w:r>
                    </w:p>
                    <w:p w14:paraId="6C40C1A1" w14:textId="77777777" w:rsidR="00F77D53" w:rsidRPr="0064397A" w:rsidRDefault="00F77D53" w:rsidP="00F77D53">
                      <w:pPr>
                        <w:pStyle w:val="ListParagraph"/>
                        <w:widowControl w:val="0"/>
                        <w:numPr>
                          <w:ilvl w:val="1"/>
                          <w:numId w:val="22"/>
                        </w:numPr>
                        <w:spacing w:after="0"/>
                        <w:ind w:firstLineChars="0"/>
                        <w:contextualSpacing/>
                        <w:jc w:val="both"/>
                        <w:rPr>
                          <w:sz w:val="18"/>
                          <w:lang w:eastAsia="en-US"/>
                        </w:rPr>
                      </w:pPr>
                      <w:r w:rsidRPr="0064397A">
                        <w:rPr>
                          <w:sz w:val="18"/>
                          <w:lang w:eastAsia="en-US"/>
                        </w:rPr>
                        <w:t>Parameter changes may be needed and submitted together with simulation results</w:t>
                      </w:r>
                    </w:p>
                    <w:p w14:paraId="0B513DFE" w14:textId="77777777" w:rsidR="00F77D53" w:rsidRPr="0064397A" w:rsidRDefault="00F77D53" w:rsidP="00F77D53">
                      <w:pPr>
                        <w:spacing w:after="0"/>
                        <w:rPr>
                          <w:sz w:val="18"/>
                        </w:rPr>
                      </w:pPr>
                    </w:p>
                  </w:txbxContent>
                </v:textbox>
                <w10:wrap anchorx="margin"/>
              </v:shape>
            </w:pict>
          </mc:Fallback>
        </mc:AlternateContent>
      </w:r>
    </w:p>
    <w:p w14:paraId="79857FCC" w14:textId="77777777" w:rsidR="0064397A" w:rsidRDefault="0064397A" w:rsidP="0064397A">
      <w:pPr>
        <w:pStyle w:val="LGTdoc"/>
        <w:spacing w:before="120" w:afterLines="0" w:line="240" w:lineRule="auto"/>
        <w:rPr>
          <w:rFonts w:eastAsia="SimSun"/>
          <w:sz w:val="20"/>
          <w:szCs w:val="20"/>
          <w:lang w:eastAsia="zh-CN"/>
        </w:rPr>
      </w:pPr>
    </w:p>
    <w:p w14:paraId="1184B730" w14:textId="77777777" w:rsidR="00F77D53" w:rsidRDefault="00F77D53" w:rsidP="0064397A">
      <w:pPr>
        <w:pStyle w:val="LGTdoc"/>
        <w:spacing w:before="120" w:afterLines="0" w:line="240" w:lineRule="auto"/>
        <w:rPr>
          <w:rFonts w:eastAsia="SimSun"/>
          <w:sz w:val="20"/>
          <w:szCs w:val="20"/>
          <w:lang w:eastAsia="zh-CN"/>
        </w:rPr>
      </w:pPr>
    </w:p>
    <w:p w14:paraId="2B746C81" w14:textId="77777777" w:rsidR="00F77D53" w:rsidRDefault="00F77D53" w:rsidP="0064397A">
      <w:pPr>
        <w:pStyle w:val="LGTdoc"/>
        <w:spacing w:before="120" w:afterLines="0" w:line="240" w:lineRule="auto"/>
        <w:rPr>
          <w:rFonts w:eastAsia="SimSun"/>
          <w:sz w:val="20"/>
          <w:szCs w:val="20"/>
          <w:lang w:eastAsia="zh-CN"/>
        </w:rPr>
      </w:pPr>
    </w:p>
    <w:p w14:paraId="2C734FF4" w14:textId="77777777" w:rsidR="00F77D53" w:rsidRDefault="00F77D53" w:rsidP="0064397A">
      <w:pPr>
        <w:pStyle w:val="LGTdoc"/>
        <w:spacing w:before="120" w:afterLines="0" w:line="240" w:lineRule="auto"/>
        <w:rPr>
          <w:rFonts w:eastAsia="SimSun"/>
          <w:sz w:val="20"/>
          <w:szCs w:val="20"/>
          <w:lang w:eastAsia="zh-CN"/>
        </w:rPr>
      </w:pPr>
    </w:p>
    <w:p w14:paraId="5ECF1B3B" w14:textId="77777777" w:rsidR="00F77D53" w:rsidRDefault="00F77D53" w:rsidP="0064397A">
      <w:pPr>
        <w:pStyle w:val="LGTdoc"/>
        <w:spacing w:before="120" w:afterLines="0" w:line="240" w:lineRule="auto"/>
        <w:rPr>
          <w:rFonts w:eastAsia="SimSun"/>
          <w:sz w:val="20"/>
          <w:szCs w:val="20"/>
          <w:lang w:eastAsia="zh-CN"/>
        </w:rPr>
      </w:pPr>
    </w:p>
    <w:p w14:paraId="4A548D3C" w14:textId="77777777" w:rsidR="00F77D53" w:rsidRDefault="00F77D53" w:rsidP="0064397A">
      <w:pPr>
        <w:pStyle w:val="LGTdoc"/>
        <w:spacing w:before="120" w:afterLines="0" w:line="240" w:lineRule="auto"/>
        <w:rPr>
          <w:rFonts w:eastAsia="SimSun"/>
          <w:sz w:val="20"/>
          <w:szCs w:val="20"/>
          <w:lang w:eastAsia="zh-CN"/>
        </w:rPr>
      </w:pPr>
    </w:p>
    <w:p w14:paraId="28BB18BB" w14:textId="77777777" w:rsidR="00F77D53" w:rsidRDefault="00F77D53" w:rsidP="0064397A">
      <w:pPr>
        <w:pStyle w:val="LGTdoc"/>
        <w:spacing w:before="120" w:afterLines="0" w:line="240" w:lineRule="auto"/>
        <w:rPr>
          <w:rFonts w:eastAsia="SimSun"/>
          <w:sz w:val="20"/>
          <w:szCs w:val="20"/>
          <w:lang w:eastAsia="zh-CN"/>
        </w:rPr>
      </w:pPr>
    </w:p>
    <w:p w14:paraId="2CB080EC" w14:textId="77777777" w:rsidR="00F77D53" w:rsidRDefault="00F77D53" w:rsidP="0064397A">
      <w:pPr>
        <w:pStyle w:val="LGTdoc"/>
        <w:spacing w:before="120" w:afterLines="0" w:line="240" w:lineRule="auto"/>
        <w:rPr>
          <w:rFonts w:eastAsia="SimSun"/>
          <w:sz w:val="20"/>
          <w:szCs w:val="20"/>
          <w:lang w:eastAsia="zh-CN"/>
        </w:rPr>
      </w:pPr>
    </w:p>
    <w:p w14:paraId="0A4EA00D" w14:textId="77777777" w:rsidR="00F77D53" w:rsidRDefault="00F77D53" w:rsidP="0064397A">
      <w:pPr>
        <w:pStyle w:val="LGTdoc"/>
        <w:spacing w:before="120" w:afterLines="0" w:line="240" w:lineRule="auto"/>
        <w:rPr>
          <w:rFonts w:eastAsia="SimSun"/>
          <w:sz w:val="20"/>
          <w:szCs w:val="20"/>
          <w:lang w:eastAsia="zh-CN"/>
        </w:rPr>
      </w:pPr>
    </w:p>
    <w:p w14:paraId="055EBCB0" w14:textId="77777777" w:rsidR="00F77D53" w:rsidRDefault="00F77D53" w:rsidP="0064397A">
      <w:pPr>
        <w:pStyle w:val="LGTdoc"/>
        <w:spacing w:before="120" w:afterLines="0" w:line="240" w:lineRule="auto"/>
        <w:rPr>
          <w:rFonts w:eastAsia="SimSun"/>
          <w:sz w:val="20"/>
          <w:szCs w:val="20"/>
          <w:lang w:eastAsia="zh-CN"/>
        </w:rPr>
      </w:pPr>
    </w:p>
    <w:p w14:paraId="1E7954A0" w14:textId="77777777" w:rsidR="00F77D53" w:rsidRDefault="00F77D53" w:rsidP="0064397A">
      <w:pPr>
        <w:pStyle w:val="LGTdoc"/>
        <w:spacing w:before="120" w:afterLines="0" w:line="240" w:lineRule="auto"/>
        <w:rPr>
          <w:rFonts w:eastAsia="SimSun"/>
          <w:sz w:val="20"/>
          <w:szCs w:val="20"/>
          <w:lang w:eastAsia="zh-CN"/>
        </w:rPr>
      </w:pPr>
    </w:p>
    <w:p w14:paraId="2FB049CE" w14:textId="77777777" w:rsidR="00F77D53" w:rsidRDefault="00F77D53" w:rsidP="0064397A">
      <w:pPr>
        <w:pStyle w:val="LGTdoc"/>
        <w:spacing w:before="120" w:afterLines="0" w:line="240" w:lineRule="auto"/>
        <w:rPr>
          <w:rFonts w:eastAsia="SimSun"/>
          <w:sz w:val="20"/>
          <w:szCs w:val="20"/>
          <w:lang w:eastAsia="zh-CN"/>
        </w:rPr>
      </w:pPr>
    </w:p>
    <w:p w14:paraId="190C28D9" w14:textId="77777777" w:rsidR="00F77D53" w:rsidRDefault="00F77D53" w:rsidP="0064397A">
      <w:pPr>
        <w:pStyle w:val="LGTdoc"/>
        <w:spacing w:before="120" w:afterLines="0" w:line="240" w:lineRule="auto"/>
        <w:rPr>
          <w:rFonts w:eastAsia="SimSun"/>
          <w:sz w:val="20"/>
          <w:szCs w:val="20"/>
          <w:lang w:eastAsia="zh-CN"/>
        </w:rPr>
      </w:pPr>
    </w:p>
    <w:p w14:paraId="0287CB7A" w14:textId="77777777" w:rsidR="00F77D53" w:rsidRDefault="00F77D53" w:rsidP="0064397A">
      <w:pPr>
        <w:pStyle w:val="LGTdoc"/>
        <w:spacing w:before="120" w:afterLines="0" w:line="240" w:lineRule="auto"/>
        <w:rPr>
          <w:rFonts w:eastAsia="SimSun"/>
          <w:sz w:val="20"/>
          <w:szCs w:val="20"/>
          <w:lang w:eastAsia="zh-CN"/>
        </w:rPr>
      </w:pPr>
    </w:p>
    <w:p w14:paraId="2E95B51A" w14:textId="77777777" w:rsidR="00F77D53" w:rsidRDefault="00F77D53" w:rsidP="0064397A">
      <w:pPr>
        <w:pStyle w:val="LGTdoc"/>
        <w:spacing w:before="120" w:afterLines="0" w:line="240" w:lineRule="auto"/>
        <w:rPr>
          <w:rFonts w:eastAsia="SimSun"/>
          <w:sz w:val="20"/>
          <w:szCs w:val="20"/>
          <w:lang w:eastAsia="zh-CN"/>
        </w:rPr>
      </w:pPr>
    </w:p>
    <w:p w14:paraId="40517F9D" w14:textId="77777777" w:rsidR="00F77D53" w:rsidRDefault="00F77D53" w:rsidP="0064397A">
      <w:pPr>
        <w:pStyle w:val="LGTdoc"/>
        <w:spacing w:before="120" w:afterLines="0" w:line="240" w:lineRule="auto"/>
        <w:rPr>
          <w:rFonts w:eastAsia="SimSun"/>
          <w:sz w:val="20"/>
          <w:szCs w:val="20"/>
          <w:lang w:eastAsia="zh-CN"/>
        </w:rPr>
      </w:pPr>
    </w:p>
    <w:p w14:paraId="11997A5D" w14:textId="77777777" w:rsidR="00F77D53" w:rsidRDefault="00F77D53" w:rsidP="0064397A">
      <w:pPr>
        <w:pStyle w:val="LGTdoc"/>
        <w:spacing w:before="120" w:afterLines="0" w:line="240" w:lineRule="auto"/>
        <w:rPr>
          <w:rFonts w:eastAsia="SimSun"/>
          <w:sz w:val="20"/>
          <w:szCs w:val="20"/>
          <w:lang w:eastAsia="zh-CN"/>
        </w:rPr>
      </w:pPr>
    </w:p>
    <w:p w14:paraId="47F7EA79" w14:textId="77777777" w:rsidR="00F77D53" w:rsidRDefault="00F77D53" w:rsidP="0064397A">
      <w:pPr>
        <w:pStyle w:val="LGTdoc"/>
        <w:spacing w:before="120" w:afterLines="0" w:line="240" w:lineRule="auto"/>
        <w:rPr>
          <w:rFonts w:eastAsia="SimSun"/>
          <w:sz w:val="20"/>
          <w:szCs w:val="20"/>
          <w:lang w:eastAsia="zh-CN"/>
        </w:rPr>
      </w:pPr>
    </w:p>
    <w:p w14:paraId="0CEAEFA3" w14:textId="77777777" w:rsidR="00F77D53" w:rsidRDefault="00F77D53" w:rsidP="0064397A">
      <w:pPr>
        <w:pStyle w:val="LGTdoc"/>
        <w:spacing w:before="120" w:afterLines="0" w:line="240" w:lineRule="auto"/>
        <w:rPr>
          <w:rFonts w:eastAsia="SimSun"/>
          <w:sz w:val="20"/>
          <w:szCs w:val="20"/>
          <w:lang w:eastAsia="zh-CN"/>
        </w:rPr>
      </w:pPr>
    </w:p>
    <w:p w14:paraId="2BF8053A" w14:textId="77777777" w:rsidR="00F77D53" w:rsidRDefault="00F77D53" w:rsidP="0064397A">
      <w:pPr>
        <w:pStyle w:val="LGTdoc"/>
        <w:spacing w:before="120" w:afterLines="0" w:line="240" w:lineRule="auto"/>
        <w:rPr>
          <w:rFonts w:eastAsia="SimSun"/>
          <w:sz w:val="20"/>
          <w:szCs w:val="20"/>
          <w:lang w:eastAsia="zh-CN"/>
        </w:rPr>
      </w:pPr>
    </w:p>
    <w:p w14:paraId="64ED40B5" w14:textId="77777777" w:rsidR="00956FDD" w:rsidRDefault="00956FDD" w:rsidP="0064397A">
      <w:pPr>
        <w:pStyle w:val="LGTdoc"/>
        <w:spacing w:before="120" w:afterLines="0" w:line="240" w:lineRule="auto"/>
        <w:rPr>
          <w:rFonts w:eastAsia="SimSun"/>
          <w:sz w:val="20"/>
          <w:szCs w:val="20"/>
          <w:lang w:eastAsia="zh-CN"/>
        </w:rPr>
      </w:pPr>
    </w:p>
    <w:p w14:paraId="7CD85A42" w14:textId="77777777" w:rsidR="00956FDD" w:rsidRDefault="00956FDD" w:rsidP="0064397A">
      <w:pPr>
        <w:pStyle w:val="LGTdoc"/>
        <w:spacing w:before="120" w:afterLines="0" w:line="240" w:lineRule="auto"/>
        <w:rPr>
          <w:rFonts w:eastAsia="SimSun"/>
          <w:sz w:val="20"/>
          <w:szCs w:val="20"/>
          <w:lang w:eastAsia="zh-CN"/>
        </w:rPr>
      </w:pPr>
    </w:p>
    <w:p w14:paraId="130B9582" w14:textId="77777777" w:rsidR="00956FDD" w:rsidRDefault="00956FDD" w:rsidP="0064397A">
      <w:pPr>
        <w:pStyle w:val="LGTdoc"/>
        <w:spacing w:before="120" w:afterLines="0" w:line="240" w:lineRule="auto"/>
        <w:rPr>
          <w:rFonts w:eastAsia="SimSun"/>
          <w:sz w:val="20"/>
          <w:szCs w:val="20"/>
          <w:lang w:eastAsia="zh-CN"/>
        </w:rPr>
      </w:pPr>
    </w:p>
    <w:p w14:paraId="3E7355B2" w14:textId="77777777" w:rsidR="00956FDD" w:rsidRDefault="00956FDD" w:rsidP="0064397A">
      <w:pPr>
        <w:pStyle w:val="LGTdoc"/>
        <w:spacing w:before="120" w:afterLines="0" w:line="240" w:lineRule="auto"/>
        <w:rPr>
          <w:rFonts w:eastAsia="SimSun"/>
          <w:sz w:val="20"/>
          <w:szCs w:val="20"/>
          <w:lang w:eastAsia="zh-CN"/>
        </w:rPr>
      </w:pPr>
    </w:p>
    <w:p w14:paraId="69AB73B7" w14:textId="77777777" w:rsidR="00956FDD" w:rsidRDefault="00956FDD" w:rsidP="0064397A">
      <w:pPr>
        <w:pStyle w:val="LGTdoc"/>
        <w:spacing w:before="120" w:afterLines="0" w:line="240" w:lineRule="auto"/>
        <w:rPr>
          <w:rFonts w:eastAsia="SimSun"/>
          <w:sz w:val="20"/>
          <w:szCs w:val="20"/>
          <w:lang w:eastAsia="zh-CN"/>
        </w:rPr>
      </w:pPr>
    </w:p>
    <w:p w14:paraId="71831C74" w14:textId="77777777" w:rsidR="00956FDD" w:rsidRDefault="00956FDD" w:rsidP="0064397A">
      <w:pPr>
        <w:pStyle w:val="LGTdoc"/>
        <w:spacing w:before="120" w:afterLines="0" w:line="240" w:lineRule="auto"/>
        <w:rPr>
          <w:rFonts w:eastAsia="SimSun"/>
          <w:sz w:val="20"/>
          <w:szCs w:val="20"/>
          <w:lang w:eastAsia="zh-CN"/>
        </w:rPr>
      </w:pPr>
    </w:p>
    <w:p w14:paraId="4DE77A56" w14:textId="77777777" w:rsidR="00956FDD" w:rsidRDefault="00956FDD" w:rsidP="0064397A">
      <w:pPr>
        <w:pStyle w:val="LGTdoc"/>
        <w:spacing w:before="120" w:afterLines="0" w:line="240" w:lineRule="auto"/>
        <w:rPr>
          <w:rFonts w:eastAsia="SimSun"/>
          <w:sz w:val="20"/>
          <w:szCs w:val="20"/>
          <w:lang w:eastAsia="zh-CN"/>
        </w:rPr>
      </w:pPr>
    </w:p>
    <w:p w14:paraId="444D1A2C" w14:textId="5A3F13C0" w:rsidR="0064397A" w:rsidRDefault="009D1A66" w:rsidP="00956FDD">
      <w:pPr>
        <w:pStyle w:val="LGTdoc"/>
        <w:spacing w:before="120" w:afterLines="0" w:line="288" w:lineRule="auto"/>
        <w:rPr>
          <w:rFonts w:eastAsia="SimSun"/>
          <w:sz w:val="20"/>
          <w:szCs w:val="20"/>
          <w:lang w:eastAsia="zh-CN"/>
        </w:rPr>
      </w:pPr>
      <w:r w:rsidRPr="009D1A66">
        <w:rPr>
          <w:rFonts w:eastAsia="SimSun"/>
          <w:sz w:val="20"/>
          <w:szCs w:val="20"/>
          <w:lang w:eastAsia="zh-CN"/>
        </w:rPr>
        <w:t>This contribution discusses the overall simulation methodology for NR unlicensed (NR-U) operations, including the candidate spectrum</w:t>
      </w:r>
      <w:r w:rsidR="00FA4B8C">
        <w:rPr>
          <w:rFonts w:eastAsia="SimSun"/>
          <w:sz w:val="20"/>
          <w:szCs w:val="20"/>
          <w:lang w:eastAsia="zh-CN"/>
        </w:rPr>
        <w:t xml:space="preserve"> and </w:t>
      </w:r>
      <w:r w:rsidRPr="009D1A66">
        <w:rPr>
          <w:rFonts w:eastAsia="SimSun"/>
          <w:sz w:val="20"/>
          <w:szCs w:val="20"/>
          <w:lang w:eastAsia="zh-CN"/>
        </w:rPr>
        <w:t>scenarios</w:t>
      </w:r>
      <w:r w:rsidR="00FA4B8C">
        <w:rPr>
          <w:rFonts w:eastAsia="SimSun"/>
          <w:sz w:val="20"/>
          <w:szCs w:val="20"/>
          <w:lang w:eastAsia="zh-CN"/>
        </w:rPr>
        <w:t xml:space="preserve"> for evaluation</w:t>
      </w:r>
      <w:r w:rsidRPr="009D1A66">
        <w:rPr>
          <w:rFonts w:eastAsia="SimSun"/>
          <w:sz w:val="20"/>
          <w:szCs w:val="20"/>
          <w:lang w:eastAsia="zh-CN"/>
        </w:rPr>
        <w:t xml:space="preserve">, </w:t>
      </w:r>
      <w:r w:rsidR="00FA4B8C">
        <w:rPr>
          <w:rFonts w:eastAsia="SimSun"/>
          <w:sz w:val="20"/>
          <w:szCs w:val="20"/>
          <w:lang w:eastAsia="zh-CN"/>
        </w:rPr>
        <w:t xml:space="preserve">simulation parameters, channel access mechanisms for evaluation, </w:t>
      </w:r>
      <w:r w:rsidRPr="009D1A66">
        <w:rPr>
          <w:rFonts w:eastAsia="SimSun"/>
          <w:sz w:val="20"/>
          <w:szCs w:val="20"/>
          <w:lang w:eastAsia="zh-CN"/>
        </w:rPr>
        <w:t>coexisting system with NR-U for evaluation, and performance metrics to investigate.</w:t>
      </w:r>
    </w:p>
    <w:p w14:paraId="5CF1D729" w14:textId="77777777" w:rsidR="00A2618C" w:rsidRPr="006165AE" w:rsidRDefault="00EE1A97" w:rsidP="006165AE">
      <w:pPr>
        <w:pStyle w:val="Heading1"/>
        <w:numPr>
          <w:ilvl w:val="0"/>
          <w:numId w:val="11"/>
        </w:numPr>
        <w:pBdr>
          <w:top w:val="single" w:sz="12" w:space="3" w:color="auto"/>
        </w:pBdr>
        <w:tabs>
          <w:tab w:val="clear" w:pos="3222"/>
          <w:tab w:val="num" w:pos="432"/>
        </w:tabs>
        <w:ind w:left="432"/>
        <w:jc w:val="both"/>
        <w:rPr>
          <w:rFonts w:eastAsia="바탕"/>
          <w:sz w:val="32"/>
          <w:szCs w:val="32"/>
          <w:lang w:eastAsia="ko-KR"/>
        </w:rPr>
      </w:pPr>
      <w:r w:rsidRPr="006165AE">
        <w:rPr>
          <w:rFonts w:eastAsia="바탕"/>
          <w:sz w:val="32"/>
          <w:szCs w:val="32"/>
          <w:lang w:eastAsia="ko-KR"/>
        </w:rPr>
        <w:lastRenderedPageBreak/>
        <w:t>Simulation Methodology for</w:t>
      </w:r>
      <w:r w:rsidR="005C5238" w:rsidRPr="006165AE">
        <w:rPr>
          <w:rFonts w:eastAsia="바탕"/>
          <w:sz w:val="32"/>
          <w:szCs w:val="32"/>
          <w:lang w:eastAsia="ko-KR"/>
        </w:rPr>
        <w:t xml:space="preserve"> </w:t>
      </w:r>
      <w:r w:rsidR="0040613D" w:rsidRPr="006165AE">
        <w:rPr>
          <w:rFonts w:eastAsia="바탕"/>
          <w:sz w:val="32"/>
          <w:szCs w:val="32"/>
          <w:lang w:eastAsia="ko-KR"/>
        </w:rPr>
        <w:t>NR-U</w:t>
      </w:r>
      <w:r w:rsidR="005A4A0A" w:rsidRPr="006165AE">
        <w:rPr>
          <w:rFonts w:eastAsia="바탕"/>
          <w:sz w:val="32"/>
          <w:szCs w:val="32"/>
          <w:lang w:eastAsia="ko-KR"/>
        </w:rPr>
        <w:t xml:space="preserve"> </w:t>
      </w:r>
    </w:p>
    <w:p w14:paraId="4CA744E3" w14:textId="77777777" w:rsidR="006165AE" w:rsidRPr="006165AE" w:rsidRDefault="006165AE" w:rsidP="006165AE">
      <w:pPr>
        <w:pStyle w:val="ListParagraph"/>
        <w:keepNext/>
        <w:keepLines/>
        <w:numPr>
          <w:ilvl w:val="0"/>
          <w:numId w:val="10"/>
        </w:numPr>
        <w:spacing w:before="120"/>
        <w:ind w:firstLineChars="0"/>
        <w:outlineLvl w:val="2"/>
        <w:rPr>
          <w:rFonts w:ascii="Arial" w:eastAsia="MS Mincho" w:hAnsi="Arial"/>
          <w:vanish/>
          <w:sz w:val="28"/>
          <w:lang w:val="en-GB" w:eastAsia="en-US"/>
        </w:rPr>
      </w:pPr>
    </w:p>
    <w:p w14:paraId="598D0125" w14:textId="77777777" w:rsidR="006165AE" w:rsidRPr="006165AE" w:rsidRDefault="006165AE" w:rsidP="006165AE">
      <w:pPr>
        <w:pStyle w:val="ListParagraph"/>
        <w:keepNext/>
        <w:keepLines/>
        <w:numPr>
          <w:ilvl w:val="0"/>
          <w:numId w:val="10"/>
        </w:numPr>
        <w:spacing w:before="120"/>
        <w:ind w:firstLineChars="0"/>
        <w:outlineLvl w:val="2"/>
        <w:rPr>
          <w:rFonts w:ascii="Arial" w:eastAsia="MS Mincho" w:hAnsi="Arial"/>
          <w:vanish/>
          <w:sz w:val="28"/>
          <w:lang w:val="en-GB" w:eastAsia="en-US"/>
        </w:rPr>
      </w:pPr>
    </w:p>
    <w:p w14:paraId="44D81D2E" w14:textId="4BC15F04" w:rsidR="00F57538" w:rsidRPr="006165AE" w:rsidRDefault="00F57538" w:rsidP="006165AE">
      <w:pPr>
        <w:pStyle w:val="Heading3"/>
        <w:numPr>
          <w:ilvl w:val="1"/>
          <w:numId w:val="10"/>
        </w:numPr>
      </w:pPr>
      <w:r w:rsidRPr="006165AE">
        <w:t xml:space="preserve">Candidate Spectrum </w:t>
      </w:r>
      <w:r w:rsidR="00A62182" w:rsidRPr="006165AE">
        <w:t xml:space="preserve">and Scenarios </w:t>
      </w:r>
      <w:r w:rsidRPr="006165AE">
        <w:t>for Evaluation</w:t>
      </w:r>
    </w:p>
    <w:p w14:paraId="31E44D05" w14:textId="248E1D0A" w:rsidR="00F25535" w:rsidRPr="006165AE" w:rsidRDefault="00F57538" w:rsidP="006165AE">
      <w:pPr>
        <w:pStyle w:val="Default"/>
        <w:spacing w:before="120" w:after="60" w:line="288" w:lineRule="auto"/>
        <w:jc w:val="both"/>
        <w:rPr>
          <w:sz w:val="20"/>
          <w:szCs w:val="14"/>
        </w:rPr>
      </w:pPr>
      <w:r w:rsidRPr="009F68D8">
        <w:rPr>
          <w:sz w:val="20"/>
          <w:szCs w:val="14"/>
        </w:rPr>
        <w:t xml:space="preserve">Simulation methodology </w:t>
      </w:r>
      <w:r w:rsidR="000365C7">
        <w:rPr>
          <w:sz w:val="20"/>
          <w:szCs w:val="14"/>
        </w:rPr>
        <w:t xml:space="preserve">for NR-U operations shall be defined according to </w:t>
      </w:r>
      <w:r w:rsidRPr="009F68D8">
        <w:rPr>
          <w:sz w:val="20"/>
          <w:szCs w:val="14"/>
        </w:rPr>
        <w:t>the candidate</w:t>
      </w:r>
      <w:r w:rsidR="000365C7">
        <w:rPr>
          <w:sz w:val="20"/>
          <w:szCs w:val="14"/>
        </w:rPr>
        <w:t xml:space="preserve"> unlicensed</w:t>
      </w:r>
      <w:r w:rsidRPr="009F68D8">
        <w:rPr>
          <w:sz w:val="20"/>
          <w:szCs w:val="14"/>
        </w:rPr>
        <w:t xml:space="preserve"> spectrum </w:t>
      </w:r>
      <w:r w:rsidR="000365C7">
        <w:rPr>
          <w:sz w:val="20"/>
          <w:szCs w:val="14"/>
        </w:rPr>
        <w:t xml:space="preserve">bands </w:t>
      </w:r>
      <w:r w:rsidRPr="009F68D8">
        <w:rPr>
          <w:sz w:val="20"/>
          <w:szCs w:val="14"/>
        </w:rPr>
        <w:t>for evaluation</w:t>
      </w:r>
      <w:r w:rsidR="000365C7">
        <w:rPr>
          <w:sz w:val="20"/>
          <w:szCs w:val="14"/>
        </w:rPr>
        <w:t>s</w:t>
      </w:r>
      <w:r w:rsidRPr="009F68D8">
        <w:rPr>
          <w:sz w:val="20"/>
          <w:szCs w:val="14"/>
        </w:rPr>
        <w:t xml:space="preserve">. </w:t>
      </w:r>
      <w:r w:rsidR="000F5C2C" w:rsidRPr="000F5C2C">
        <w:rPr>
          <w:sz w:val="20"/>
          <w:szCs w:val="14"/>
        </w:rPr>
        <w:t>The 5 GHz unlicensed spectrum</w:t>
      </w:r>
      <w:r w:rsidR="00CF0A79">
        <w:rPr>
          <w:sz w:val="20"/>
          <w:szCs w:val="14"/>
        </w:rPr>
        <w:t xml:space="preserve"> </w:t>
      </w:r>
      <w:r w:rsidR="000F5C2C" w:rsidRPr="000F5C2C">
        <w:rPr>
          <w:sz w:val="20"/>
          <w:szCs w:val="14"/>
        </w:rPr>
        <w:t>is of particular importance due to</w:t>
      </w:r>
      <w:r w:rsidR="00DC5419">
        <w:rPr>
          <w:sz w:val="20"/>
          <w:szCs w:val="14"/>
        </w:rPr>
        <w:t xml:space="preserve"> its global common availability;</w:t>
      </w:r>
      <w:r w:rsidR="00CF0A79">
        <w:rPr>
          <w:sz w:val="20"/>
          <w:szCs w:val="14"/>
        </w:rPr>
        <w:t xml:space="preserve"> and t</w:t>
      </w:r>
      <w:r w:rsidR="00971972">
        <w:rPr>
          <w:sz w:val="20"/>
          <w:szCs w:val="14"/>
        </w:rPr>
        <w:t>he</w:t>
      </w:r>
      <w:r w:rsidR="0077790A" w:rsidRPr="0077790A">
        <w:rPr>
          <w:sz w:val="20"/>
          <w:szCs w:val="14"/>
        </w:rPr>
        <w:t xml:space="preserve"> 6 GHz unlicensed spectrum</w:t>
      </w:r>
      <w:r w:rsidR="00CF0A79">
        <w:rPr>
          <w:sz w:val="20"/>
          <w:szCs w:val="14"/>
        </w:rPr>
        <w:t xml:space="preserve"> </w:t>
      </w:r>
      <w:r w:rsidR="007E589F" w:rsidRPr="0077790A">
        <w:rPr>
          <w:sz w:val="20"/>
          <w:szCs w:val="14"/>
        </w:rPr>
        <w:t>is</w:t>
      </w:r>
      <w:r w:rsidR="00971972">
        <w:rPr>
          <w:sz w:val="20"/>
          <w:szCs w:val="14"/>
        </w:rPr>
        <w:t xml:space="preserve"> </w:t>
      </w:r>
      <w:r w:rsidR="007E589F">
        <w:rPr>
          <w:sz w:val="20"/>
          <w:szCs w:val="14"/>
        </w:rPr>
        <w:t>another</w:t>
      </w:r>
      <w:r w:rsidR="00971972">
        <w:rPr>
          <w:sz w:val="20"/>
          <w:szCs w:val="14"/>
        </w:rPr>
        <w:t xml:space="preserve"> attra</w:t>
      </w:r>
      <w:r w:rsidR="002C1B8B">
        <w:rPr>
          <w:sz w:val="20"/>
          <w:szCs w:val="14"/>
        </w:rPr>
        <w:t xml:space="preserve">ctive </w:t>
      </w:r>
      <w:r w:rsidR="002809EF">
        <w:rPr>
          <w:sz w:val="20"/>
          <w:szCs w:val="14"/>
        </w:rPr>
        <w:t xml:space="preserve">spectrum for NR-U </w:t>
      </w:r>
      <w:r w:rsidR="00A17D9D">
        <w:rPr>
          <w:sz w:val="20"/>
          <w:szCs w:val="14"/>
        </w:rPr>
        <w:t xml:space="preserve">due </w:t>
      </w:r>
      <w:r w:rsidR="00162E61">
        <w:rPr>
          <w:sz w:val="20"/>
          <w:szCs w:val="14"/>
        </w:rPr>
        <w:t>to its wide available bandwidth</w:t>
      </w:r>
      <w:r w:rsidR="00DC5419">
        <w:rPr>
          <w:sz w:val="20"/>
          <w:szCs w:val="14"/>
        </w:rPr>
        <w:t xml:space="preserve"> and potentially similar PHY layer designs to the 5 GHz bands</w:t>
      </w:r>
      <w:r w:rsidR="00162E61">
        <w:rPr>
          <w:sz w:val="20"/>
          <w:szCs w:val="14"/>
        </w:rPr>
        <w:t xml:space="preserve">. </w:t>
      </w:r>
      <w:r w:rsidR="00DC5419">
        <w:rPr>
          <w:sz w:val="20"/>
          <w:szCs w:val="14"/>
        </w:rPr>
        <w:t xml:space="preserve">The 60 GHz unlicensed spectrum, on the other hand, will be subject to </w:t>
      </w:r>
      <w:r w:rsidR="00DC5419" w:rsidRPr="002319A9">
        <w:rPr>
          <w:sz w:val="20"/>
          <w:szCs w:val="14"/>
        </w:rPr>
        <w:t xml:space="preserve">much poorer free space pass loss compared to </w:t>
      </w:r>
      <w:r w:rsidR="00D56DE4">
        <w:rPr>
          <w:sz w:val="20"/>
          <w:szCs w:val="14"/>
        </w:rPr>
        <w:t xml:space="preserve">sub-7 </w:t>
      </w:r>
      <w:r w:rsidR="00DC5419">
        <w:rPr>
          <w:sz w:val="20"/>
          <w:szCs w:val="14"/>
        </w:rPr>
        <w:t xml:space="preserve">GHz bands, and the </w:t>
      </w:r>
      <w:r w:rsidR="00DC5419" w:rsidRPr="002319A9">
        <w:rPr>
          <w:sz w:val="20"/>
          <w:szCs w:val="14"/>
        </w:rPr>
        <w:t>specification work to support NR for &gt;52.6GHz is still unclear at this moment</w:t>
      </w:r>
      <w:r w:rsidR="00DC5419">
        <w:rPr>
          <w:sz w:val="20"/>
          <w:szCs w:val="14"/>
        </w:rPr>
        <w:t>.</w:t>
      </w:r>
      <w:r w:rsidR="006D51C8">
        <w:rPr>
          <w:sz w:val="20"/>
          <w:szCs w:val="14"/>
        </w:rPr>
        <w:t xml:space="preserve"> Therefore, </w:t>
      </w:r>
      <w:r w:rsidR="00184776">
        <w:rPr>
          <w:sz w:val="20"/>
          <w:szCs w:val="14"/>
        </w:rPr>
        <w:t xml:space="preserve">it was agreed that </w:t>
      </w:r>
      <w:r w:rsidR="006D51C8" w:rsidRPr="006D51C8">
        <w:rPr>
          <w:sz w:val="20"/>
          <w:szCs w:val="14"/>
        </w:rPr>
        <w:t>NR</w:t>
      </w:r>
      <w:r w:rsidR="006D51C8">
        <w:rPr>
          <w:sz w:val="20"/>
          <w:szCs w:val="14"/>
        </w:rPr>
        <w:t>-U</w:t>
      </w:r>
      <w:r w:rsidR="006D51C8" w:rsidRPr="006D51C8">
        <w:rPr>
          <w:sz w:val="20"/>
          <w:szCs w:val="14"/>
        </w:rPr>
        <w:t xml:space="preserve"> </w:t>
      </w:r>
      <w:r w:rsidR="005627C6">
        <w:rPr>
          <w:sz w:val="20"/>
          <w:szCs w:val="14"/>
        </w:rPr>
        <w:t xml:space="preserve">evaluation </w:t>
      </w:r>
      <w:r w:rsidR="006D51C8" w:rsidRPr="006D51C8">
        <w:rPr>
          <w:sz w:val="20"/>
          <w:szCs w:val="14"/>
        </w:rPr>
        <w:t>prioritiz</w:t>
      </w:r>
      <w:r w:rsidR="00BE1AF9">
        <w:rPr>
          <w:sz w:val="20"/>
          <w:szCs w:val="14"/>
        </w:rPr>
        <w:t>es</w:t>
      </w:r>
      <w:r w:rsidR="006D51C8" w:rsidRPr="006D51C8">
        <w:rPr>
          <w:sz w:val="20"/>
          <w:szCs w:val="14"/>
        </w:rPr>
        <w:t xml:space="preserve"> </w:t>
      </w:r>
      <w:r w:rsidR="00184776">
        <w:rPr>
          <w:sz w:val="20"/>
          <w:szCs w:val="14"/>
        </w:rPr>
        <w:t>sub-7</w:t>
      </w:r>
      <w:r w:rsidR="006D51C8" w:rsidRPr="006D51C8">
        <w:rPr>
          <w:sz w:val="20"/>
          <w:szCs w:val="14"/>
        </w:rPr>
        <w:t xml:space="preserve"> GHz unlicensed spectrum</w:t>
      </w:r>
      <w:r w:rsidR="00BE1AF9">
        <w:rPr>
          <w:sz w:val="20"/>
          <w:szCs w:val="14"/>
        </w:rPr>
        <w:t xml:space="preserve"> </w:t>
      </w:r>
      <w:r w:rsidR="00C23F9A" w:rsidRPr="00C23F9A">
        <w:rPr>
          <w:sz w:val="20"/>
          <w:szCs w:val="14"/>
        </w:rPr>
        <w:t>for the study item phase of NR-U.</w:t>
      </w:r>
    </w:p>
    <w:p w14:paraId="1E6B9475" w14:textId="77777777" w:rsidR="005A0542" w:rsidRPr="006165AE" w:rsidRDefault="006E5291" w:rsidP="006165AE">
      <w:pPr>
        <w:pStyle w:val="Default"/>
        <w:spacing w:before="120" w:after="60" w:line="288" w:lineRule="auto"/>
        <w:jc w:val="both"/>
        <w:rPr>
          <w:sz w:val="20"/>
          <w:szCs w:val="14"/>
        </w:rPr>
      </w:pPr>
      <w:r w:rsidRPr="006165AE">
        <w:rPr>
          <w:sz w:val="20"/>
          <w:szCs w:val="14"/>
        </w:rPr>
        <w:t>The</w:t>
      </w:r>
      <w:r w:rsidR="000564BF" w:rsidRPr="006165AE">
        <w:rPr>
          <w:sz w:val="20"/>
          <w:szCs w:val="14"/>
        </w:rPr>
        <w:t xml:space="preserve"> evaluation scenarios </w:t>
      </w:r>
      <w:r w:rsidRPr="006165AE">
        <w:rPr>
          <w:sz w:val="20"/>
          <w:szCs w:val="14"/>
        </w:rPr>
        <w:t xml:space="preserve">for NR-U </w:t>
      </w:r>
      <w:r w:rsidR="000564BF" w:rsidRPr="006165AE">
        <w:rPr>
          <w:sz w:val="20"/>
          <w:szCs w:val="14"/>
        </w:rPr>
        <w:t>can include both</w:t>
      </w:r>
      <w:r w:rsidR="00F1056F" w:rsidRPr="006165AE">
        <w:rPr>
          <w:sz w:val="20"/>
          <w:szCs w:val="14"/>
        </w:rPr>
        <w:t xml:space="preserve"> the</w:t>
      </w:r>
      <w:r w:rsidR="000564BF" w:rsidRPr="006165AE">
        <w:rPr>
          <w:sz w:val="20"/>
          <w:szCs w:val="14"/>
        </w:rPr>
        <w:t xml:space="preserve"> indoor scenario and </w:t>
      </w:r>
      <w:r w:rsidR="00F1056F" w:rsidRPr="006165AE">
        <w:rPr>
          <w:sz w:val="20"/>
          <w:szCs w:val="14"/>
        </w:rPr>
        <w:t xml:space="preserve">the </w:t>
      </w:r>
      <w:r w:rsidR="000564BF" w:rsidRPr="006165AE">
        <w:rPr>
          <w:sz w:val="20"/>
          <w:szCs w:val="14"/>
        </w:rPr>
        <w:t>outdoor scenario</w:t>
      </w:r>
      <w:r w:rsidR="00F1056F" w:rsidRPr="006165AE">
        <w:rPr>
          <w:sz w:val="20"/>
          <w:szCs w:val="14"/>
        </w:rPr>
        <w:t>, with</w:t>
      </w:r>
      <w:r w:rsidR="000564BF" w:rsidRPr="006165AE">
        <w:rPr>
          <w:sz w:val="20"/>
          <w:szCs w:val="14"/>
        </w:rPr>
        <w:t xml:space="preserve"> </w:t>
      </w:r>
      <w:r w:rsidR="00F1056F" w:rsidRPr="006165AE">
        <w:rPr>
          <w:sz w:val="20"/>
          <w:szCs w:val="14"/>
        </w:rPr>
        <w:t>the target deployment examples can be</w:t>
      </w:r>
      <w:r w:rsidR="00F84DD5" w:rsidRPr="006165AE">
        <w:rPr>
          <w:sz w:val="20"/>
          <w:szCs w:val="14"/>
        </w:rPr>
        <w:t xml:space="preserve"> the</w:t>
      </w:r>
      <w:r w:rsidR="00F1056F" w:rsidRPr="006165AE">
        <w:rPr>
          <w:sz w:val="20"/>
          <w:szCs w:val="14"/>
        </w:rPr>
        <w:t xml:space="preserve"> indoor office/enterprise networks and </w:t>
      </w:r>
      <w:r w:rsidR="00E62E36" w:rsidRPr="006165AE">
        <w:rPr>
          <w:sz w:val="20"/>
          <w:szCs w:val="14"/>
        </w:rPr>
        <w:t xml:space="preserve">the </w:t>
      </w:r>
      <w:r w:rsidR="00F1056F" w:rsidRPr="006165AE">
        <w:rPr>
          <w:sz w:val="20"/>
          <w:szCs w:val="14"/>
        </w:rPr>
        <w:t>outdoor hotspots respectively.</w:t>
      </w:r>
      <w:r w:rsidR="00381FE6" w:rsidRPr="006165AE">
        <w:rPr>
          <w:sz w:val="20"/>
          <w:szCs w:val="14"/>
        </w:rPr>
        <w:t xml:space="preserve"> </w:t>
      </w:r>
      <w:r w:rsidR="001849A8" w:rsidRPr="006165AE">
        <w:rPr>
          <w:sz w:val="20"/>
          <w:szCs w:val="14"/>
        </w:rPr>
        <w:t xml:space="preserve">Given the time budget of the study item phase, </w:t>
      </w:r>
      <w:r w:rsidR="00833DE8" w:rsidRPr="006165AE">
        <w:rPr>
          <w:sz w:val="20"/>
          <w:szCs w:val="14"/>
        </w:rPr>
        <w:t>the</w:t>
      </w:r>
      <w:r w:rsidR="001849A8" w:rsidRPr="006165AE">
        <w:rPr>
          <w:sz w:val="20"/>
          <w:szCs w:val="14"/>
        </w:rPr>
        <w:t xml:space="preserve"> </w:t>
      </w:r>
      <w:r w:rsidR="00BF0B40" w:rsidRPr="006165AE">
        <w:rPr>
          <w:sz w:val="20"/>
          <w:szCs w:val="14"/>
        </w:rPr>
        <w:t xml:space="preserve">simulation methodology for NR-U evaluations can </w:t>
      </w:r>
      <w:r w:rsidR="00755D3D" w:rsidRPr="006165AE">
        <w:rPr>
          <w:sz w:val="20"/>
          <w:szCs w:val="14"/>
        </w:rPr>
        <w:t>prioritize</w:t>
      </w:r>
      <w:r w:rsidR="00853B61" w:rsidRPr="006165AE">
        <w:rPr>
          <w:sz w:val="20"/>
          <w:szCs w:val="14"/>
        </w:rPr>
        <w:t xml:space="preserve"> indoor sc</w:t>
      </w:r>
      <w:r w:rsidR="00833DE8" w:rsidRPr="006165AE">
        <w:rPr>
          <w:sz w:val="20"/>
          <w:szCs w:val="14"/>
        </w:rPr>
        <w:t xml:space="preserve">enarios </w:t>
      </w:r>
      <w:r w:rsidR="000E5512" w:rsidRPr="006165AE">
        <w:rPr>
          <w:sz w:val="20"/>
          <w:szCs w:val="14"/>
        </w:rPr>
        <w:t>in the study item phase s</w:t>
      </w:r>
      <w:r w:rsidR="00833DE8" w:rsidRPr="006165AE">
        <w:rPr>
          <w:sz w:val="20"/>
          <w:szCs w:val="14"/>
        </w:rPr>
        <w:t>imilar to LTE-LAA</w:t>
      </w:r>
      <w:r w:rsidR="000E5512" w:rsidRPr="006165AE">
        <w:rPr>
          <w:sz w:val="20"/>
          <w:szCs w:val="14"/>
        </w:rPr>
        <w:t>, and further evaluate the outdoor scenarios if time permits</w:t>
      </w:r>
      <w:r w:rsidR="00B52264" w:rsidRPr="006165AE">
        <w:rPr>
          <w:sz w:val="20"/>
          <w:szCs w:val="14"/>
        </w:rPr>
        <w:t>.</w:t>
      </w:r>
      <w:r w:rsidR="005A0542" w:rsidRPr="006165AE">
        <w:rPr>
          <w:sz w:val="20"/>
          <w:szCs w:val="14"/>
        </w:rPr>
        <w:t xml:space="preserve"> </w:t>
      </w:r>
    </w:p>
    <w:p w14:paraId="202B059A" w14:textId="6900E67B" w:rsidR="0061061F" w:rsidRDefault="0061061F" w:rsidP="006165AE">
      <w:pPr>
        <w:spacing w:before="120" w:after="0" w:line="288" w:lineRule="auto"/>
        <w:jc w:val="both"/>
        <w:rPr>
          <w:rFonts w:eastAsia="MS Mincho"/>
          <w:b/>
          <w:u w:val="single"/>
          <w:lang w:eastAsia="ja-JP"/>
        </w:rPr>
      </w:pPr>
      <w:r>
        <w:rPr>
          <w:rFonts w:eastAsia="MS Mincho"/>
          <w:b/>
          <w:u w:val="single"/>
          <w:lang w:eastAsia="ja-JP"/>
        </w:rPr>
        <w:t xml:space="preserve">Proposal 1: </w:t>
      </w:r>
      <w:r w:rsidR="00DA340E">
        <w:rPr>
          <w:rFonts w:eastAsia="MS Mincho"/>
          <w:b/>
          <w:u w:val="single"/>
          <w:lang w:eastAsia="ja-JP"/>
        </w:rPr>
        <w:t xml:space="preserve">NR-U evaluation </w:t>
      </w:r>
      <w:r w:rsidR="00C947F6">
        <w:rPr>
          <w:rFonts w:eastAsia="MS Mincho"/>
          <w:b/>
          <w:u w:val="single"/>
          <w:lang w:eastAsia="ja-JP"/>
        </w:rPr>
        <w:t xml:space="preserve">can </w:t>
      </w:r>
      <w:r w:rsidR="00DA340E">
        <w:rPr>
          <w:rFonts w:eastAsia="MS Mincho"/>
          <w:b/>
          <w:u w:val="single"/>
          <w:lang w:eastAsia="ja-JP"/>
        </w:rPr>
        <w:t xml:space="preserve">prioritize indoor scenario </w:t>
      </w:r>
      <w:r w:rsidRPr="009A2A46">
        <w:rPr>
          <w:rFonts w:eastAsia="MS Mincho"/>
          <w:b/>
          <w:u w:val="single"/>
          <w:lang w:eastAsia="ja-JP"/>
        </w:rPr>
        <w:t>in the study item phase</w:t>
      </w:r>
      <w:r>
        <w:rPr>
          <w:rFonts w:eastAsia="MS Mincho"/>
          <w:b/>
          <w:u w:val="single"/>
          <w:lang w:eastAsia="ja-JP"/>
        </w:rPr>
        <w:t>.</w:t>
      </w:r>
    </w:p>
    <w:p w14:paraId="6296DC37" w14:textId="77777777" w:rsidR="006165AE" w:rsidRDefault="006165AE" w:rsidP="006165AE">
      <w:pPr>
        <w:spacing w:after="0" w:line="288" w:lineRule="auto"/>
        <w:jc w:val="both"/>
        <w:rPr>
          <w:rFonts w:eastAsia="MS Mincho"/>
          <w:b/>
          <w:u w:val="single"/>
          <w:lang w:eastAsia="ja-JP"/>
        </w:rPr>
      </w:pPr>
    </w:p>
    <w:p w14:paraId="0879DDC0" w14:textId="42AEBEF8" w:rsidR="007026D0" w:rsidRPr="006165AE" w:rsidRDefault="007026D0" w:rsidP="006165AE">
      <w:pPr>
        <w:pStyle w:val="Heading3"/>
        <w:numPr>
          <w:ilvl w:val="1"/>
          <w:numId w:val="10"/>
        </w:numPr>
      </w:pPr>
      <w:r w:rsidRPr="006165AE">
        <w:t xml:space="preserve">Simulation Parameters for NR-U </w:t>
      </w:r>
    </w:p>
    <w:p w14:paraId="463CD2B6" w14:textId="77777777" w:rsidR="008C7E1F" w:rsidRPr="006165AE" w:rsidRDefault="008F3E0B" w:rsidP="006165AE">
      <w:pPr>
        <w:pStyle w:val="Default"/>
        <w:spacing w:before="120" w:after="60" w:line="288" w:lineRule="auto"/>
        <w:jc w:val="both"/>
        <w:rPr>
          <w:sz w:val="20"/>
          <w:szCs w:val="14"/>
        </w:rPr>
      </w:pPr>
      <w:r w:rsidRPr="006165AE">
        <w:rPr>
          <w:sz w:val="20"/>
          <w:szCs w:val="14"/>
        </w:rPr>
        <w:t xml:space="preserve">For the simulation parameters, </w:t>
      </w:r>
      <w:r w:rsidR="00643FB0" w:rsidRPr="006165AE">
        <w:rPr>
          <w:sz w:val="20"/>
          <w:szCs w:val="14"/>
        </w:rPr>
        <w:t>some</w:t>
      </w:r>
      <w:r w:rsidRPr="006165AE">
        <w:rPr>
          <w:sz w:val="20"/>
          <w:szCs w:val="14"/>
        </w:rPr>
        <w:t xml:space="preserve"> </w:t>
      </w:r>
      <w:r w:rsidR="00A2618C" w:rsidRPr="006165AE">
        <w:rPr>
          <w:sz w:val="20"/>
          <w:szCs w:val="14"/>
        </w:rPr>
        <w:t xml:space="preserve">of the evaluation assumptions </w:t>
      </w:r>
      <w:r w:rsidR="008935B3" w:rsidRPr="006165AE">
        <w:rPr>
          <w:sz w:val="20"/>
          <w:szCs w:val="14"/>
        </w:rPr>
        <w:t xml:space="preserve">for NR-U </w:t>
      </w:r>
      <w:r w:rsidR="00A2618C" w:rsidRPr="006165AE">
        <w:rPr>
          <w:sz w:val="20"/>
          <w:szCs w:val="14"/>
        </w:rPr>
        <w:t>can be reused from LAA evaluation scenarios</w:t>
      </w:r>
      <w:r w:rsidR="00A158FD" w:rsidRPr="006165AE">
        <w:rPr>
          <w:sz w:val="20"/>
          <w:szCs w:val="14"/>
        </w:rPr>
        <w:t xml:space="preserve"> in [</w:t>
      </w:r>
      <w:r w:rsidR="00643FB0" w:rsidRPr="006165AE">
        <w:rPr>
          <w:sz w:val="20"/>
          <w:szCs w:val="14"/>
        </w:rPr>
        <w:t>4</w:t>
      </w:r>
      <w:r w:rsidR="00A158FD" w:rsidRPr="006165AE">
        <w:rPr>
          <w:sz w:val="20"/>
          <w:szCs w:val="14"/>
        </w:rPr>
        <w:t>]</w:t>
      </w:r>
      <w:r w:rsidR="005B50A6" w:rsidRPr="006165AE">
        <w:rPr>
          <w:sz w:val="20"/>
          <w:szCs w:val="14"/>
        </w:rPr>
        <w:t xml:space="preserve">, </w:t>
      </w:r>
      <w:r w:rsidR="00B877CF" w:rsidRPr="006165AE">
        <w:rPr>
          <w:sz w:val="20"/>
          <w:szCs w:val="14"/>
        </w:rPr>
        <w:t>including</w:t>
      </w:r>
      <w:r w:rsidR="005B50A6" w:rsidRPr="006165AE">
        <w:rPr>
          <w:sz w:val="20"/>
          <w:szCs w:val="14"/>
        </w:rPr>
        <w:t xml:space="preserve"> the total gNB/UE transmit</w:t>
      </w:r>
      <w:r w:rsidR="00A2618C" w:rsidRPr="006165AE">
        <w:rPr>
          <w:sz w:val="20"/>
          <w:szCs w:val="14"/>
        </w:rPr>
        <w:t xml:space="preserve"> power, traffic model, receiver model</w:t>
      </w:r>
      <w:r w:rsidR="005B50A6" w:rsidRPr="006165AE">
        <w:rPr>
          <w:sz w:val="20"/>
          <w:szCs w:val="14"/>
        </w:rPr>
        <w:t>, etc</w:t>
      </w:r>
      <w:r w:rsidR="00A2618C" w:rsidRPr="006165AE">
        <w:rPr>
          <w:sz w:val="20"/>
          <w:szCs w:val="14"/>
        </w:rPr>
        <w:t xml:space="preserve">. </w:t>
      </w:r>
      <w:r w:rsidR="00B42068" w:rsidRPr="006165AE">
        <w:rPr>
          <w:sz w:val="20"/>
          <w:szCs w:val="14"/>
        </w:rPr>
        <w:t>A</w:t>
      </w:r>
      <w:r w:rsidR="00447947" w:rsidRPr="006165AE">
        <w:rPr>
          <w:sz w:val="20"/>
          <w:szCs w:val="14"/>
        </w:rPr>
        <w:t xml:space="preserve">dditional </w:t>
      </w:r>
      <w:r w:rsidR="00945ED9" w:rsidRPr="006165AE">
        <w:rPr>
          <w:sz w:val="20"/>
          <w:szCs w:val="14"/>
        </w:rPr>
        <w:t xml:space="preserve">key simulation parameters that need to be </w:t>
      </w:r>
      <w:r w:rsidR="004B08A1" w:rsidRPr="006165AE">
        <w:rPr>
          <w:sz w:val="20"/>
          <w:szCs w:val="14"/>
        </w:rPr>
        <w:t xml:space="preserve">specified for NR-U evaluations include the </w:t>
      </w:r>
      <w:r w:rsidR="0053475C" w:rsidRPr="006165AE">
        <w:rPr>
          <w:sz w:val="20"/>
          <w:szCs w:val="14"/>
        </w:rPr>
        <w:t xml:space="preserve">carrier frequency, </w:t>
      </w:r>
      <w:r w:rsidR="006159A6" w:rsidRPr="006165AE">
        <w:rPr>
          <w:sz w:val="20"/>
          <w:szCs w:val="14"/>
        </w:rPr>
        <w:t xml:space="preserve">the </w:t>
      </w:r>
      <w:r w:rsidR="004B08A1" w:rsidRPr="006165AE">
        <w:rPr>
          <w:sz w:val="20"/>
          <w:szCs w:val="14"/>
        </w:rPr>
        <w:t>subcarrier spacing</w:t>
      </w:r>
      <w:r w:rsidR="008E210B" w:rsidRPr="006165AE">
        <w:rPr>
          <w:sz w:val="20"/>
          <w:szCs w:val="14"/>
        </w:rPr>
        <w:t xml:space="preserve">, the </w:t>
      </w:r>
      <w:r w:rsidR="00A2618C" w:rsidRPr="006165AE">
        <w:rPr>
          <w:sz w:val="20"/>
          <w:szCs w:val="14"/>
        </w:rPr>
        <w:t xml:space="preserve">system bandwidth, </w:t>
      </w:r>
      <w:r w:rsidR="00D53807" w:rsidRPr="006165AE">
        <w:rPr>
          <w:sz w:val="20"/>
          <w:szCs w:val="14"/>
        </w:rPr>
        <w:t xml:space="preserve">the </w:t>
      </w:r>
      <w:r w:rsidR="00447947" w:rsidRPr="006165AE">
        <w:rPr>
          <w:sz w:val="20"/>
          <w:szCs w:val="14"/>
        </w:rPr>
        <w:t xml:space="preserve">network layout, </w:t>
      </w:r>
      <w:r w:rsidR="006159A6" w:rsidRPr="006165AE">
        <w:rPr>
          <w:sz w:val="20"/>
          <w:szCs w:val="14"/>
        </w:rPr>
        <w:t>as well as the</w:t>
      </w:r>
      <w:r w:rsidR="004B08A1" w:rsidRPr="006165AE">
        <w:rPr>
          <w:sz w:val="20"/>
          <w:szCs w:val="14"/>
        </w:rPr>
        <w:t xml:space="preserve"> </w:t>
      </w:r>
      <w:r w:rsidR="00A2618C" w:rsidRPr="006165AE">
        <w:rPr>
          <w:sz w:val="20"/>
          <w:szCs w:val="14"/>
        </w:rPr>
        <w:t>antenna array configuration</w:t>
      </w:r>
      <w:r w:rsidR="006159A6" w:rsidRPr="006165AE">
        <w:rPr>
          <w:sz w:val="20"/>
          <w:szCs w:val="14"/>
        </w:rPr>
        <w:t xml:space="preserve"> on gNB/UE such that multi-beam operation is supported at least on </w:t>
      </w:r>
      <w:r w:rsidR="00344298" w:rsidRPr="006165AE">
        <w:rPr>
          <w:sz w:val="20"/>
          <w:szCs w:val="14"/>
        </w:rPr>
        <w:t xml:space="preserve">the </w:t>
      </w:r>
      <w:r w:rsidR="006159A6" w:rsidRPr="006165AE">
        <w:rPr>
          <w:sz w:val="20"/>
          <w:szCs w:val="14"/>
        </w:rPr>
        <w:t>gNB side</w:t>
      </w:r>
      <w:r w:rsidR="00A2618C" w:rsidRPr="006165AE">
        <w:rPr>
          <w:sz w:val="20"/>
          <w:szCs w:val="14"/>
        </w:rPr>
        <w:t xml:space="preserve">. </w:t>
      </w:r>
    </w:p>
    <w:p w14:paraId="266C604B" w14:textId="77777777" w:rsidR="00A158FD" w:rsidRPr="006165AE" w:rsidRDefault="002423F5" w:rsidP="006165AE">
      <w:pPr>
        <w:pStyle w:val="Default"/>
        <w:spacing w:before="120" w:after="60" w:line="288" w:lineRule="auto"/>
        <w:jc w:val="both"/>
        <w:rPr>
          <w:sz w:val="20"/>
          <w:szCs w:val="14"/>
        </w:rPr>
      </w:pPr>
      <w:r w:rsidRPr="006165AE">
        <w:rPr>
          <w:sz w:val="20"/>
          <w:szCs w:val="14"/>
        </w:rPr>
        <w:fldChar w:fldCharType="begin"/>
      </w:r>
      <w:r w:rsidRPr="006165AE">
        <w:rPr>
          <w:sz w:val="20"/>
          <w:szCs w:val="14"/>
        </w:rPr>
        <w:instrText xml:space="preserve"> REF _Ref505961761 \h </w:instrText>
      </w:r>
      <w:r w:rsidR="00956FDD" w:rsidRPr="006165AE">
        <w:rPr>
          <w:sz w:val="20"/>
          <w:szCs w:val="14"/>
        </w:rPr>
        <w:instrText xml:space="preserve"> \* MERGEFORMAT </w:instrText>
      </w:r>
      <w:r w:rsidRPr="006165AE">
        <w:rPr>
          <w:sz w:val="20"/>
          <w:szCs w:val="14"/>
        </w:rPr>
      </w:r>
      <w:r w:rsidRPr="006165AE">
        <w:rPr>
          <w:sz w:val="20"/>
          <w:szCs w:val="14"/>
        </w:rPr>
        <w:fldChar w:fldCharType="separate"/>
      </w:r>
      <w:r w:rsidRPr="006165AE">
        <w:rPr>
          <w:sz w:val="20"/>
          <w:szCs w:val="14"/>
        </w:rPr>
        <w:t>Table 1</w:t>
      </w:r>
      <w:r w:rsidRPr="006165AE">
        <w:rPr>
          <w:sz w:val="20"/>
          <w:szCs w:val="14"/>
        </w:rPr>
        <w:fldChar w:fldCharType="end"/>
      </w:r>
      <w:r w:rsidRPr="006165AE">
        <w:rPr>
          <w:sz w:val="20"/>
          <w:szCs w:val="14"/>
        </w:rPr>
        <w:t xml:space="preserve"> </w:t>
      </w:r>
      <w:r w:rsidR="00DB5B18" w:rsidRPr="006165AE">
        <w:rPr>
          <w:sz w:val="20"/>
          <w:szCs w:val="14"/>
        </w:rPr>
        <w:t>summarizes</w:t>
      </w:r>
      <w:r w:rsidRPr="006165AE">
        <w:rPr>
          <w:sz w:val="20"/>
          <w:szCs w:val="14"/>
        </w:rPr>
        <w:t xml:space="preserve"> the proposed key simulation parameters for </w:t>
      </w:r>
      <w:r w:rsidR="0053475C" w:rsidRPr="006165AE">
        <w:rPr>
          <w:sz w:val="20"/>
          <w:szCs w:val="14"/>
        </w:rPr>
        <w:t>NR-U evaluation</w:t>
      </w:r>
      <w:r w:rsidR="007E44D5" w:rsidRPr="006165AE">
        <w:rPr>
          <w:sz w:val="20"/>
          <w:szCs w:val="14"/>
        </w:rPr>
        <w:t>s</w:t>
      </w:r>
      <w:r w:rsidR="00736F0A" w:rsidRPr="006165AE">
        <w:rPr>
          <w:sz w:val="20"/>
          <w:szCs w:val="14"/>
        </w:rPr>
        <w:t xml:space="preserve">, </w:t>
      </w:r>
      <w:r w:rsidR="00E95B40" w:rsidRPr="006165AE">
        <w:rPr>
          <w:sz w:val="20"/>
          <w:szCs w:val="14"/>
        </w:rPr>
        <w:t>and</w:t>
      </w:r>
      <w:r w:rsidR="00736F0A" w:rsidRPr="006165AE">
        <w:rPr>
          <w:sz w:val="20"/>
          <w:szCs w:val="14"/>
        </w:rPr>
        <w:t xml:space="preserve"> the other simulation parameters can be reused from </w:t>
      </w:r>
      <w:r w:rsidR="0094623A" w:rsidRPr="006165AE">
        <w:rPr>
          <w:sz w:val="20"/>
          <w:szCs w:val="14"/>
        </w:rPr>
        <w:t xml:space="preserve">the evaluation assumptions for </w:t>
      </w:r>
      <w:r w:rsidR="00736F0A" w:rsidRPr="006165AE">
        <w:rPr>
          <w:sz w:val="20"/>
          <w:szCs w:val="14"/>
        </w:rPr>
        <w:t>LAA [3]</w:t>
      </w:r>
      <w:r w:rsidR="000C6BBA" w:rsidRPr="006165AE">
        <w:rPr>
          <w:sz w:val="20"/>
          <w:szCs w:val="14"/>
        </w:rPr>
        <w:t xml:space="preserve">. </w:t>
      </w:r>
      <w:r w:rsidR="006159A6" w:rsidRPr="006165AE">
        <w:rPr>
          <w:sz w:val="20"/>
          <w:szCs w:val="14"/>
        </w:rPr>
        <w:t>Note</w:t>
      </w:r>
      <w:r w:rsidR="005D6B6D" w:rsidRPr="006165AE">
        <w:rPr>
          <w:sz w:val="20"/>
          <w:szCs w:val="14"/>
        </w:rPr>
        <w:t xml:space="preserve"> the </w:t>
      </w:r>
      <w:r w:rsidRPr="006165AE">
        <w:rPr>
          <w:sz w:val="20"/>
          <w:szCs w:val="14"/>
        </w:rPr>
        <w:t xml:space="preserve">total gNB/UE transmit power in </w:t>
      </w:r>
      <w:r w:rsidRPr="006165AE">
        <w:rPr>
          <w:sz w:val="20"/>
          <w:szCs w:val="14"/>
        </w:rPr>
        <w:fldChar w:fldCharType="begin"/>
      </w:r>
      <w:r w:rsidRPr="006165AE">
        <w:rPr>
          <w:sz w:val="20"/>
          <w:szCs w:val="14"/>
        </w:rPr>
        <w:instrText xml:space="preserve"> REF _Ref505961761 \h </w:instrText>
      </w:r>
      <w:r w:rsidR="00956FDD" w:rsidRPr="006165AE">
        <w:rPr>
          <w:sz w:val="20"/>
          <w:szCs w:val="14"/>
        </w:rPr>
        <w:instrText xml:space="preserve"> \* MERGEFORMAT </w:instrText>
      </w:r>
      <w:r w:rsidRPr="006165AE">
        <w:rPr>
          <w:sz w:val="20"/>
          <w:szCs w:val="14"/>
        </w:rPr>
      </w:r>
      <w:r w:rsidRPr="006165AE">
        <w:rPr>
          <w:sz w:val="20"/>
          <w:szCs w:val="14"/>
        </w:rPr>
        <w:fldChar w:fldCharType="separate"/>
      </w:r>
      <w:r w:rsidRPr="006165AE">
        <w:rPr>
          <w:sz w:val="20"/>
          <w:szCs w:val="14"/>
        </w:rPr>
        <w:t>Table 1</w:t>
      </w:r>
      <w:r w:rsidRPr="006165AE">
        <w:rPr>
          <w:sz w:val="20"/>
          <w:szCs w:val="14"/>
        </w:rPr>
        <w:fldChar w:fldCharType="end"/>
      </w:r>
      <w:r w:rsidRPr="006165AE">
        <w:rPr>
          <w:sz w:val="20"/>
          <w:szCs w:val="14"/>
        </w:rPr>
        <w:t xml:space="preserve"> corresponds to the EIRP, which also includes the antenna gain when multi-beam operation is adopted by the gNB/UE.</w:t>
      </w:r>
      <w:r w:rsidR="00055601" w:rsidRPr="006165AE">
        <w:rPr>
          <w:sz w:val="20"/>
          <w:szCs w:val="14"/>
        </w:rPr>
        <w:t xml:space="preserve"> In addition, </w:t>
      </w:r>
      <w:r w:rsidR="00C70A23" w:rsidRPr="006165AE">
        <w:rPr>
          <w:sz w:val="20"/>
          <w:szCs w:val="14"/>
        </w:rPr>
        <w:t>evaluating NR-U with</w:t>
      </w:r>
      <w:r w:rsidR="00055601" w:rsidRPr="006165AE">
        <w:rPr>
          <w:sz w:val="20"/>
          <w:szCs w:val="14"/>
        </w:rPr>
        <w:t xml:space="preserve"> 80 MHz</w:t>
      </w:r>
      <w:r w:rsidR="0038159E" w:rsidRPr="006165AE">
        <w:rPr>
          <w:sz w:val="20"/>
          <w:szCs w:val="14"/>
        </w:rPr>
        <w:t xml:space="preserve"> system</w:t>
      </w:r>
      <w:r w:rsidR="00055601" w:rsidRPr="006165AE">
        <w:rPr>
          <w:sz w:val="20"/>
          <w:szCs w:val="14"/>
        </w:rPr>
        <w:t xml:space="preserve"> </w:t>
      </w:r>
      <w:r w:rsidR="00D34E50" w:rsidRPr="006165AE">
        <w:rPr>
          <w:sz w:val="20"/>
          <w:szCs w:val="14"/>
        </w:rPr>
        <w:t xml:space="preserve">bandwidth </w:t>
      </w:r>
      <w:r w:rsidR="00C70A23" w:rsidRPr="006165AE">
        <w:rPr>
          <w:sz w:val="20"/>
          <w:szCs w:val="14"/>
        </w:rPr>
        <w:t>can enable the performance study</w:t>
      </w:r>
      <w:r w:rsidR="00055601" w:rsidRPr="006165AE">
        <w:rPr>
          <w:sz w:val="20"/>
          <w:szCs w:val="14"/>
        </w:rPr>
        <w:t xml:space="preserve"> of wideband operations (e.g., wideband LBT) for sub-7 GHz NR-U, as well as </w:t>
      </w:r>
      <w:r w:rsidR="00AE23E6" w:rsidRPr="006165AE">
        <w:rPr>
          <w:sz w:val="20"/>
          <w:szCs w:val="14"/>
        </w:rPr>
        <w:t xml:space="preserve">the </w:t>
      </w:r>
      <w:r w:rsidR="00055601" w:rsidRPr="006165AE">
        <w:rPr>
          <w:sz w:val="20"/>
          <w:szCs w:val="14"/>
        </w:rPr>
        <w:t xml:space="preserve">coexistence </w:t>
      </w:r>
      <w:r w:rsidR="00C70A23" w:rsidRPr="006165AE">
        <w:rPr>
          <w:sz w:val="20"/>
          <w:szCs w:val="14"/>
        </w:rPr>
        <w:t>evaluation</w:t>
      </w:r>
      <w:r w:rsidR="00055601" w:rsidRPr="006165AE">
        <w:rPr>
          <w:sz w:val="20"/>
          <w:szCs w:val="14"/>
        </w:rPr>
        <w:t xml:space="preserve"> with the </w:t>
      </w:r>
      <w:r w:rsidR="00141DDC" w:rsidRPr="006165AE">
        <w:rPr>
          <w:sz w:val="20"/>
          <w:szCs w:val="14"/>
        </w:rPr>
        <w:t xml:space="preserve">IEEE </w:t>
      </w:r>
      <w:r w:rsidR="00055601" w:rsidRPr="006165AE">
        <w:rPr>
          <w:sz w:val="20"/>
          <w:szCs w:val="14"/>
        </w:rPr>
        <w:t xml:space="preserve">802.11ac system. </w:t>
      </w:r>
    </w:p>
    <w:p w14:paraId="26B6DE5C" w14:textId="77777777" w:rsidR="00DD06C9" w:rsidRDefault="008646BA" w:rsidP="00A158FD">
      <w:pPr>
        <w:pStyle w:val="Caption"/>
        <w:jc w:val="center"/>
        <w:rPr>
          <w:color w:val="000000"/>
          <w:szCs w:val="14"/>
        </w:rPr>
      </w:pPr>
      <w:bookmarkStart w:id="3" w:name="_Ref505961761"/>
      <w:bookmarkStart w:id="4" w:name="_Ref505961698"/>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00F616B1">
        <w:t xml:space="preserve">Key </w:t>
      </w:r>
      <w:r w:rsidR="00945ED9">
        <w:t>simulation</w:t>
      </w:r>
      <w:r>
        <w:t xml:space="preserve"> parameters </w:t>
      </w:r>
      <w:bookmarkEnd w:id="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77"/>
        <w:gridCol w:w="6374"/>
      </w:tblGrid>
      <w:tr w:rsidR="000457B1" w:rsidRPr="00473766" w14:paraId="778BDC1D" w14:textId="77777777" w:rsidTr="00D27A01">
        <w:trPr>
          <w:cantSplit/>
          <w:trHeight w:val="181"/>
          <w:tblHeader/>
          <w:jc w:val="center"/>
        </w:trPr>
        <w:tc>
          <w:tcPr>
            <w:tcW w:w="3077" w:type="dxa"/>
            <w:shd w:val="clear" w:color="auto" w:fill="D9D9D9"/>
            <w:noWrap/>
            <w:vAlign w:val="center"/>
          </w:tcPr>
          <w:p w14:paraId="507D4357" w14:textId="77777777" w:rsidR="000457B1" w:rsidRPr="00B67753" w:rsidRDefault="00900F92" w:rsidP="008C469B">
            <w:pPr>
              <w:pStyle w:val="TAH"/>
            </w:pPr>
            <w:r>
              <w:t>Para</w:t>
            </w:r>
            <w:r w:rsidR="00810D9D">
              <w:t>meters</w:t>
            </w:r>
          </w:p>
        </w:tc>
        <w:tc>
          <w:tcPr>
            <w:tcW w:w="6374" w:type="dxa"/>
            <w:shd w:val="clear" w:color="auto" w:fill="D9D9D9"/>
            <w:vAlign w:val="center"/>
          </w:tcPr>
          <w:p w14:paraId="708D4B3A" w14:textId="77777777" w:rsidR="000457B1" w:rsidRPr="00C54DEE" w:rsidRDefault="000457B1" w:rsidP="00611F73">
            <w:pPr>
              <w:pStyle w:val="TAH"/>
              <w:rPr>
                <w:rFonts w:cs="Arial"/>
                <w:szCs w:val="18"/>
              </w:rPr>
            </w:pPr>
            <w:r w:rsidRPr="00C54DEE">
              <w:rPr>
                <w:rFonts w:cs="Arial"/>
                <w:szCs w:val="18"/>
              </w:rPr>
              <w:t>Unlicensed cell</w:t>
            </w:r>
          </w:p>
        </w:tc>
      </w:tr>
      <w:tr w:rsidR="00770C69" w:rsidRPr="00473766" w14:paraId="36B10A13" w14:textId="77777777" w:rsidTr="00D27A01">
        <w:trPr>
          <w:cantSplit/>
          <w:trHeight w:val="74"/>
          <w:tblHeader/>
          <w:jc w:val="center"/>
        </w:trPr>
        <w:tc>
          <w:tcPr>
            <w:tcW w:w="3077" w:type="dxa"/>
            <w:shd w:val="clear" w:color="auto" w:fill="D9D9D9"/>
          </w:tcPr>
          <w:p w14:paraId="4B88420A" w14:textId="77777777" w:rsidR="00770C69" w:rsidRPr="00473766" w:rsidRDefault="00770C69" w:rsidP="00770C69">
            <w:pPr>
              <w:pStyle w:val="TAH"/>
              <w:jc w:val="left"/>
              <w:rPr>
                <w:rFonts w:cs="Arial"/>
                <w:szCs w:val="18"/>
              </w:rPr>
            </w:pPr>
            <w:r w:rsidRPr="00473766">
              <w:rPr>
                <w:rFonts w:cs="Arial"/>
                <w:szCs w:val="18"/>
              </w:rPr>
              <w:t xml:space="preserve">Carrier frequency </w:t>
            </w:r>
          </w:p>
        </w:tc>
        <w:tc>
          <w:tcPr>
            <w:tcW w:w="6374" w:type="dxa"/>
            <w:shd w:val="clear" w:color="auto" w:fill="auto"/>
            <w:vAlign w:val="center"/>
          </w:tcPr>
          <w:p w14:paraId="455A5D10" w14:textId="77777777" w:rsidR="00770C69" w:rsidRPr="00473766" w:rsidRDefault="00770C69" w:rsidP="00770C69">
            <w:pPr>
              <w:pStyle w:val="TAL"/>
            </w:pPr>
            <w:r w:rsidRPr="00473766">
              <w:t>5.0</w:t>
            </w:r>
            <w:r>
              <w:t xml:space="preserve"> </w:t>
            </w:r>
            <w:r w:rsidRPr="00473766">
              <w:t>GHz</w:t>
            </w:r>
            <w:r>
              <w:t xml:space="preserve"> (optional 6.0 GHz)</w:t>
            </w:r>
          </w:p>
        </w:tc>
      </w:tr>
      <w:tr w:rsidR="00770C69" w:rsidRPr="00473766" w14:paraId="6AB3D2B6" w14:textId="77777777" w:rsidTr="00D27A01">
        <w:trPr>
          <w:cantSplit/>
          <w:trHeight w:val="191"/>
          <w:tblHeader/>
          <w:jc w:val="center"/>
        </w:trPr>
        <w:tc>
          <w:tcPr>
            <w:tcW w:w="3077" w:type="dxa"/>
            <w:shd w:val="clear" w:color="auto" w:fill="D9D9D9"/>
          </w:tcPr>
          <w:p w14:paraId="40DC5DE2" w14:textId="77777777" w:rsidR="00770C69" w:rsidRPr="00473766" w:rsidRDefault="00770C69" w:rsidP="00770C69">
            <w:pPr>
              <w:pStyle w:val="TAH"/>
              <w:jc w:val="left"/>
              <w:rPr>
                <w:rFonts w:cs="Arial"/>
                <w:szCs w:val="18"/>
              </w:rPr>
            </w:pPr>
            <w:r w:rsidRPr="00473766">
              <w:rPr>
                <w:rFonts w:cs="Arial"/>
                <w:szCs w:val="18"/>
              </w:rPr>
              <w:t>System bandwidth per carrier</w:t>
            </w:r>
          </w:p>
        </w:tc>
        <w:tc>
          <w:tcPr>
            <w:tcW w:w="6374" w:type="dxa"/>
            <w:shd w:val="clear" w:color="auto" w:fill="auto"/>
            <w:vAlign w:val="center"/>
          </w:tcPr>
          <w:p w14:paraId="610A7EEA" w14:textId="77777777" w:rsidR="00770C69" w:rsidRPr="00473766" w:rsidRDefault="00770C69" w:rsidP="006F2E02">
            <w:pPr>
              <w:pStyle w:val="TAL"/>
            </w:pPr>
            <w:r>
              <w:t>20 MHz (optional 80 MHz)</w:t>
            </w:r>
          </w:p>
        </w:tc>
      </w:tr>
      <w:tr w:rsidR="00770C69" w:rsidRPr="00473766" w14:paraId="0F71D37E" w14:textId="77777777" w:rsidTr="00D27A01">
        <w:trPr>
          <w:cantSplit/>
          <w:trHeight w:val="181"/>
          <w:tblHeader/>
          <w:jc w:val="center"/>
        </w:trPr>
        <w:tc>
          <w:tcPr>
            <w:tcW w:w="3077" w:type="dxa"/>
            <w:shd w:val="clear" w:color="auto" w:fill="D9D9D9"/>
          </w:tcPr>
          <w:p w14:paraId="0FA78C0D" w14:textId="77777777" w:rsidR="00770C69" w:rsidRPr="00473766" w:rsidRDefault="00770C69" w:rsidP="00770C69">
            <w:pPr>
              <w:pStyle w:val="TAH"/>
              <w:jc w:val="left"/>
              <w:rPr>
                <w:rFonts w:cs="Arial"/>
                <w:szCs w:val="18"/>
              </w:rPr>
            </w:pPr>
            <w:r>
              <w:rPr>
                <w:rFonts w:cs="Arial"/>
                <w:szCs w:val="18"/>
              </w:rPr>
              <w:t>Subcarrier spacing</w:t>
            </w:r>
          </w:p>
        </w:tc>
        <w:tc>
          <w:tcPr>
            <w:tcW w:w="6374" w:type="dxa"/>
            <w:shd w:val="clear" w:color="auto" w:fill="auto"/>
            <w:vAlign w:val="center"/>
          </w:tcPr>
          <w:p w14:paraId="29B492D6" w14:textId="77777777" w:rsidR="00770C69" w:rsidRPr="00473766" w:rsidRDefault="00770C69" w:rsidP="00770C69">
            <w:pPr>
              <w:pStyle w:val="TAL"/>
            </w:pPr>
            <w:r>
              <w:t>15/30/60 KHz</w:t>
            </w:r>
          </w:p>
        </w:tc>
      </w:tr>
      <w:tr w:rsidR="00770C69" w:rsidRPr="00473766" w14:paraId="346FE341" w14:textId="77777777" w:rsidTr="00D27A01">
        <w:trPr>
          <w:cantSplit/>
          <w:trHeight w:val="181"/>
          <w:tblHeader/>
          <w:jc w:val="center"/>
        </w:trPr>
        <w:tc>
          <w:tcPr>
            <w:tcW w:w="3077" w:type="dxa"/>
            <w:shd w:val="clear" w:color="auto" w:fill="D9D9D9"/>
          </w:tcPr>
          <w:p w14:paraId="1CCB41A6" w14:textId="77777777" w:rsidR="00770C69" w:rsidRPr="00473766" w:rsidRDefault="00770C69" w:rsidP="00770C69">
            <w:pPr>
              <w:pStyle w:val="TAH"/>
              <w:jc w:val="left"/>
              <w:rPr>
                <w:rFonts w:cs="Arial"/>
                <w:szCs w:val="18"/>
              </w:rPr>
            </w:pPr>
            <w:r>
              <w:rPr>
                <w:rFonts w:cs="Arial"/>
                <w:szCs w:val="18"/>
              </w:rPr>
              <w:t>Total gNB</w:t>
            </w:r>
            <w:r w:rsidRPr="00473766">
              <w:rPr>
                <w:rFonts w:cs="Arial"/>
                <w:szCs w:val="18"/>
              </w:rPr>
              <w:t xml:space="preserve"> TX power</w:t>
            </w:r>
          </w:p>
        </w:tc>
        <w:tc>
          <w:tcPr>
            <w:tcW w:w="6374" w:type="dxa"/>
            <w:shd w:val="clear" w:color="auto" w:fill="auto"/>
            <w:vAlign w:val="center"/>
          </w:tcPr>
          <w:p w14:paraId="3CA22B9C" w14:textId="77777777" w:rsidR="00770C69" w:rsidRPr="00A90784" w:rsidRDefault="00770C69" w:rsidP="000C5843">
            <w:pPr>
              <w:pStyle w:val="TAL"/>
            </w:pPr>
            <w:r w:rsidRPr="00A90784">
              <w:t xml:space="preserve">18 dBm </w:t>
            </w:r>
            <w:r>
              <w:t>(o</w:t>
            </w:r>
            <w:r w:rsidRPr="00A90784">
              <w:t>ptional: 24 dBm</w:t>
            </w:r>
            <w:r>
              <w:t>)</w:t>
            </w:r>
          </w:p>
        </w:tc>
      </w:tr>
      <w:tr w:rsidR="00770C69" w:rsidRPr="00473766" w14:paraId="56048D84" w14:textId="77777777" w:rsidTr="00D27A01">
        <w:trPr>
          <w:cantSplit/>
          <w:trHeight w:val="181"/>
          <w:tblHeader/>
          <w:jc w:val="center"/>
        </w:trPr>
        <w:tc>
          <w:tcPr>
            <w:tcW w:w="3077" w:type="dxa"/>
            <w:shd w:val="clear" w:color="auto" w:fill="D9D9D9"/>
          </w:tcPr>
          <w:p w14:paraId="436DF773" w14:textId="77777777" w:rsidR="00770C69" w:rsidRPr="00473766" w:rsidRDefault="00770C69" w:rsidP="00770C69">
            <w:pPr>
              <w:pStyle w:val="TAH"/>
              <w:jc w:val="left"/>
              <w:rPr>
                <w:rFonts w:cs="Arial"/>
                <w:szCs w:val="18"/>
              </w:rPr>
            </w:pPr>
            <w:r w:rsidRPr="00473766">
              <w:rPr>
                <w:rFonts w:cs="Arial"/>
                <w:szCs w:val="18"/>
              </w:rPr>
              <w:t xml:space="preserve">Total UE TX power </w:t>
            </w:r>
          </w:p>
        </w:tc>
        <w:tc>
          <w:tcPr>
            <w:tcW w:w="6374" w:type="dxa"/>
            <w:shd w:val="clear" w:color="auto" w:fill="auto"/>
            <w:vAlign w:val="center"/>
          </w:tcPr>
          <w:p w14:paraId="6CBAD183" w14:textId="77777777" w:rsidR="00770C69" w:rsidRPr="00A90784" w:rsidRDefault="00770C69" w:rsidP="00770C69">
            <w:pPr>
              <w:pStyle w:val="TAL"/>
            </w:pPr>
            <w:r w:rsidRPr="00A90784">
              <w:t xml:space="preserve">18 dBm </w:t>
            </w:r>
            <w:r w:rsidR="000C5843">
              <w:t>(o</w:t>
            </w:r>
            <w:r w:rsidR="000C5843" w:rsidRPr="00A90784">
              <w:t>ptional: 24 dBm</w:t>
            </w:r>
            <w:r w:rsidR="000C5843">
              <w:t>)</w:t>
            </w:r>
          </w:p>
        </w:tc>
      </w:tr>
      <w:tr w:rsidR="00770C69" w:rsidRPr="00473766" w14:paraId="6D9F1DE6" w14:textId="77777777" w:rsidTr="00D27A01">
        <w:trPr>
          <w:cantSplit/>
          <w:trHeight w:val="181"/>
          <w:tblHeader/>
          <w:jc w:val="center"/>
        </w:trPr>
        <w:tc>
          <w:tcPr>
            <w:tcW w:w="3077" w:type="dxa"/>
            <w:shd w:val="clear" w:color="auto" w:fill="D9D9D9"/>
            <w:vAlign w:val="center"/>
          </w:tcPr>
          <w:p w14:paraId="07B5F5C5" w14:textId="77777777" w:rsidR="00770C69" w:rsidRPr="00473766" w:rsidRDefault="00770C69" w:rsidP="00770C69">
            <w:pPr>
              <w:pStyle w:val="TAH"/>
              <w:jc w:val="left"/>
              <w:rPr>
                <w:rFonts w:cs="Arial"/>
                <w:szCs w:val="18"/>
              </w:rPr>
            </w:pPr>
            <w:r>
              <w:rPr>
                <w:rFonts w:cs="Arial"/>
                <w:szCs w:val="18"/>
              </w:rPr>
              <w:t>gNB a</w:t>
            </w:r>
            <w:r w:rsidRPr="00473766">
              <w:rPr>
                <w:rFonts w:cs="Arial"/>
                <w:szCs w:val="18"/>
              </w:rPr>
              <w:t xml:space="preserve">ntenna </w:t>
            </w:r>
            <w:r>
              <w:rPr>
                <w:rFonts w:cs="Arial"/>
                <w:szCs w:val="18"/>
              </w:rPr>
              <w:t>array configuration</w:t>
            </w:r>
          </w:p>
        </w:tc>
        <w:tc>
          <w:tcPr>
            <w:tcW w:w="6374" w:type="dxa"/>
            <w:shd w:val="clear" w:color="auto" w:fill="auto"/>
            <w:vAlign w:val="center"/>
          </w:tcPr>
          <w:p w14:paraId="6AA240DC" w14:textId="77777777" w:rsidR="00770C69" w:rsidRPr="00473766" w:rsidRDefault="00770C69" w:rsidP="00770C69">
            <w:pPr>
              <w:pStyle w:val="TAL"/>
            </w:pPr>
            <w:r w:rsidRPr="00CC3648">
              <w:rPr>
                <w:lang w:val="en-GB"/>
              </w:rPr>
              <w:t>(M, N, P, M</w:t>
            </w:r>
            <w:r w:rsidRPr="00CC3648">
              <w:rPr>
                <w:vertAlign w:val="subscript"/>
                <w:lang w:val="en-GB"/>
              </w:rPr>
              <w:t>g</w:t>
            </w:r>
            <w:r w:rsidRPr="00CC3648">
              <w:rPr>
                <w:lang w:val="en-GB"/>
              </w:rPr>
              <w:t>, N</w:t>
            </w:r>
            <w:r w:rsidRPr="00CC3648">
              <w:rPr>
                <w:vertAlign w:val="subscript"/>
                <w:lang w:val="en-GB"/>
              </w:rPr>
              <w:t>g</w:t>
            </w:r>
            <w:r w:rsidRPr="00CC3648">
              <w:rPr>
                <w:lang w:val="en-GB"/>
              </w:rPr>
              <w:t>)  = (1, 2, 2, 1, 1), dH = dV = 0.5 λ</w:t>
            </w:r>
          </w:p>
        </w:tc>
      </w:tr>
      <w:tr w:rsidR="00770C69" w:rsidRPr="00473766" w14:paraId="1E2CAD42" w14:textId="77777777" w:rsidTr="00D27A01">
        <w:trPr>
          <w:cantSplit/>
          <w:trHeight w:val="181"/>
          <w:tblHeader/>
          <w:jc w:val="center"/>
        </w:trPr>
        <w:tc>
          <w:tcPr>
            <w:tcW w:w="3077" w:type="dxa"/>
            <w:shd w:val="clear" w:color="auto" w:fill="D9D9D9"/>
            <w:vAlign w:val="center"/>
          </w:tcPr>
          <w:p w14:paraId="0C4AE290" w14:textId="77777777" w:rsidR="00770C69" w:rsidRPr="00473766" w:rsidRDefault="00770C69" w:rsidP="00770C69">
            <w:pPr>
              <w:pStyle w:val="TAH"/>
              <w:jc w:val="left"/>
              <w:rPr>
                <w:rFonts w:cs="Arial"/>
                <w:szCs w:val="18"/>
              </w:rPr>
            </w:pPr>
            <w:r>
              <w:rPr>
                <w:rFonts w:cs="Arial"/>
                <w:szCs w:val="18"/>
              </w:rPr>
              <w:t>UE a</w:t>
            </w:r>
            <w:r w:rsidRPr="00473766">
              <w:rPr>
                <w:rFonts w:cs="Arial"/>
                <w:szCs w:val="18"/>
              </w:rPr>
              <w:t xml:space="preserve">ntenna </w:t>
            </w:r>
            <w:r>
              <w:rPr>
                <w:rFonts w:cs="Arial"/>
                <w:szCs w:val="18"/>
              </w:rPr>
              <w:t>array configuration</w:t>
            </w:r>
          </w:p>
        </w:tc>
        <w:tc>
          <w:tcPr>
            <w:tcW w:w="6374" w:type="dxa"/>
            <w:shd w:val="clear" w:color="auto" w:fill="auto"/>
            <w:vAlign w:val="center"/>
          </w:tcPr>
          <w:p w14:paraId="2FE27845" w14:textId="77777777" w:rsidR="00770C69" w:rsidRPr="00473766" w:rsidRDefault="00770C69" w:rsidP="00770C69">
            <w:pPr>
              <w:pStyle w:val="TAL"/>
            </w:pPr>
            <w:r w:rsidRPr="00CC3648">
              <w:rPr>
                <w:lang w:val="en-GB"/>
              </w:rPr>
              <w:t>(M, N, P, M</w:t>
            </w:r>
            <w:r w:rsidRPr="00CC3648">
              <w:rPr>
                <w:vertAlign w:val="subscript"/>
                <w:lang w:val="en-GB"/>
              </w:rPr>
              <w:t>g</w:t>
            </w:r>
            <w:r w:rsidRPr="00CC3648">
              <w:rPr>
                <w:lang w:val="en-GB"/>
              </w:rPr>
              <w:t>, N</w:t>
            </w:r>
            <w:r w:rsidRPr="00CC3648">
              <w:rPr>
                <w:vertAlign w:val="subscript"/>
                <w:lang w:val="en-GB"/>
              </w:rPr>
              <w:t>g</w:t>
            </w:r>
            <w:r w:rsidRPr="00CC3648">
              <w:rPr>
                <w:lang w:val="en-GB"/>
              </w:rPr>
              <w:t xml:space="preserve">)  = (1, </w:t>
            </w:r>
            <w:r>
              <w:rPr>
                <w:lang w:val="en-GB"/>
              </w:rPr>
              <w:t>1</w:t>
            </w:r>
            <w:r w:rsidRPr="00CC3648">
              <w:rPr>
                <w:lang w:val="en-GB"/>
              </w:rPr>
              <w:t>, 2, 1, 1), dH = dV = 0.5 λ</w:t>
            </w:r>
            <w:r>
              <w:rPr>
                <w:lang w:val="en-GB"/>
              </w:rPr>
              <w:t xml:space="preserve"> (optional: </w:t>
            </w:r>
            <w:r>
              <w:t>o</w:t>
            </w:r>
            <w:r w:rsidRPr="00473766">
              <w:t>mni-directional</w:t>
            </w:r>
            <w:r>
              <w:t>)</w:t>
            </w:r>
          </w:p>
        </w:tc>
      </w:tr>
      <w:tr w:rsidR="00B7404B" w:rsidRPr="00473766" w14:paraId="590E2DE8" w14:textId="77777777" w:rsidTr="00D27A01">
        <w:trPr>
          <w:cantSplit/>
          <w:trHeight w:val="2798"/>
          <w:tblHeader/>
          <w:jc w:val="center"/>
        </w:trPr>
        <w:tc>
          <w:tcPr>
            <w:tcW w:w="3077" w:type="dxa"/>
            <w:shd w:val="clear" w:color="auto" w:fill="D9D9D9"/>
            <w:vAlign w:val="center"/>
          </w:tcPr>
          <w:p w14:paraId="32FF8DAD" w14:textId="77777777" w:rsidR="00B7404B" w:rsidRDefault="00B7404B" w:rsidP="00770C69">
            <w:pPr>
              <w:pStyle w:val="TAH"/>
              <w:jc w:val="left"/>
              <w:rPr>
                <w:rFonts w:cs="Arial"/>
                <w:szCs w:val="18"/>
              </w:rPr>
            </w:pPr>
            <w:r>
              <w:rPr>
                <w:rFonts w:cs="Arial"/>
                <w:szCs w:val="18"/>
              </w:rPr>
              <w:t>Layout for nodes</w:t>
            </w:r>
          </w:p>
        </w:tc>
        <w:tc>
          <w:tcPr>
            <w:tcW w:w="6374" w:type="dxa"/>
            <w:shd w:val="clear" w:color="auto" w:fill="auto"/>
            <w:vAlign w:val="center"/>
          </w:tcPr>
          <w:p w14:paraId="10EAF161" w14:textId="594717AE" w:rsidR="00B7404B" w:rsidRDefault="009E1B0C" w:rsidP="00770C69">
            <w:pPr>
              <w:pStyle w:val="TAL"/>
              <w:rPr>
                <w:lang w:eastAsia="en-US"/>
              </w:rPr>
            </w:pPr>
            <w:r>
              <w:rPr>
                <w:lang w:eastAsia="en-US"/>
              </w:rPr>
              <w:t>For indoor sub 7 GHz scenario, r</w:t>
            </w:r>
            <w:r w:rsidR="00B7404B" w:rsidRPr="0064397A">
              <w:rPr>
                <w:lang w:eastAsia="en-US"/>
              </w:rPr>
              <w:t>euse 38.802 indoor hotspot topology</w:t>
            </w:r>
            <w:r w:rsidR="003E459A">
              <w:rPr>
                <w:lang w:eastAsia="en-US"/>
              </w:rPr>
              <w:t xml:space="preserve"> </w:t>
            </w:r>
            <w:r w:rsidR="000A68FE">
              <w:rPr>
                <w:lang w:eastAsia="en-US"/>
              </w:rPr>
              <w:t xml:space="preserve">but </w:t>
            </w:r>
            <w:r w:rsidR="003E459A">
              <w:rPr>
                <w:lang w:eastAsia="en-US"/>
              </w:rPr>
              <w:t>with two operators. Each operator deploys 6 gNBs (for NR-U operator) or 6 APs (for Wi-Fi operator) per 120m x 50m.</w:t>
            </w:r>
            <w:r w:rsidR="00F67703">
              <w:rPr>
                <w:lang w:eastAsia="en-US"/>
              </w:rPr>
              <w:t xml:space="preserve"> </w:t>
            </w:r>
            <w:r w:rsidR="00202446">
              <w:rPr>
                <w:lang w:eastAsia="en-US"/>
              </w:rPr>
              <w:t xml:space="preserve">Optionally, the gNB/AP density </w:t>
            </w:r>
            <w:r w:rsidR="00D571F8">
              <w:rPr>
                <w:lang w:eastAsia="en-US"/>
              </w:rPr>
              <w:t>for e</w:t>
            </w:r>
            <w:r w:rsidR="00FD4050">
              <w:rPr>
                <w:lang w:eastAsia="en-US"/>
              </w:rPr>
              <w:t xml:space="preserve">ach operator </w:t>
            </w:r>
            <w:r w:rsidR="00202446">
              <w:rPr>
                <w:lang w:eastAsia="en-US"/>
              </w:rPr>
              <w:t>can be reduced to 3 gNB/A</w:t>
            </w:r>
            <w:r w:rsidR="00E271F7">
              <w:rPr>
                <w:lang w:eastAsia="en-US"/>
              </w:rPr>
              <w:t>P</w:t>
            </w:r>
            <w:r w:rsidR="00202446">
              <w:rPr>
                <w:lang w:eastAsia="en-US"/>
              </w:rPr>
              <w:t xml:space="preserve">s per 120m x 50m. </w:t>
            </w:r>
          </w:p>
          <w:p w14:paraId="203ACD50" w14:textId="77777777" w:rsidR="000E4E8E" w:rsidRDefault="000E4E8E" w:rsidP="00770C69">
            <w:pPr>
              <w:pStyle w:val="TAL"/>
              <w:rPr>
                <w:lang w:eastAsia="en-US"/>
              </w:rPr>
            </w:pPr>
          </w:p>
          <w:p w14:paraId="0AE33CF3" w14:textId="402F35C2" w:rsidR="0016315B" w:rsidRDefault="00D27A01" w:rsidP="0016315B">
            <w:pPr>
              <w:pStyle w:val="TAL"/>
              <w:jc w:val="center"/>
              <w:rPr>
                <w:lang w:eastAsia="en-US"/>
              </w:rPr>
            </w:pPr>
            <w:r>
              <w:object w:dxaOrig="8076" w:dyaOrig="4273" w14:anchorId="06C30C18">
                <v:shape id="_x0000_i1027" type="#_x0000_t75" style="width:167.75pt;height:87.95pt" o:ole="">
                  <v:imagedata r:id="rId8" o:title=""/>
                </v:shape>
                <o:OLEObject Type="Embed" ProgID="Visio.Drawing.15" ShapeID="_x0000_i1027" DrawAspect="Content" ObjectID="_1584530534" r:id="rId9"/>
              </w:object>
            </w:r>
          </w:p>
          <w:p w14:paraId="4AA5E34F" w14:textId="77777777" w:rsidR="00B7404B" w:rsidRPr="00CC3648" w:rsidRDefault="00B7404B" w:rsidP="00770C69">
            <w:pPr>
              <w:pStyle w:val="TAL"/>
              <w:rPr>
                <w:lang w:val="en-GB"/>
              </w:rPr>
            </w:pPr>
          </w:p>
        </w:tc>
      </w:tr>
    </w:tbl>
    <w:p w14:paraId="1003FFD1" w14:textId="77777777" w:rsidR="00736F0A" w:rsidRDefault="00736F0A" w:rsidP="00C72AE3">
      <w:pPr>
        <w:spacing w:before="120" w:after="120"/>
        <w:jc w:val="both"/>
        <w:rPr>
          <w:color w:val="000000"/>
          <w:szCs w:val="14"/>
        </w:rPr>
      </w:pPr>
    </w:p>
    <w:p w14:paraId="0479A2F0" w14:textId="0715A3E4" w:rsidR="003F7590" w:rsidRDefault="00892F71" w:rsidP="00956FDD">
      <w:pPr>
        <w:spacing w:before="120" w:after="120" w:line="288" w:lineRule="auto"/>
        <w:jc w:val="both"/>
        <w:rPr>
          <w:rFonts w:eastAsia="MS Mincho"/>
          <w:b/>
          <w:u w:val="single"/>
          <w:lang w:eastAsia="ja-JP"/>
        </w:rPr>
      </w:pPr>
      <w:r>
        <w:rPr>
          <w:rFonts w:eastAsia="MS Mincho"/>
          <w:b/>
          <w:u w:val="single"/>
          <w:lang w:eastAsia="ja-JP"/>
        </w:rPr>
        <w:lastRenderedPageBreak/>
        <w:t xml:space="preserve">Proposal 2: </w:t>
      </w:r>
      <w:r w:rsidR="00FF19AC">
        <w:rPr>
          <w:rFonts w:eastAsia="MS Mincho"/>
          <w:b/>
          <w:u w:val="single"/>
          <w:lang w:eastAsia="ja-JP"/>
        </w:rPr>
        <w:t xml:space="preserve">NR-U </w:t>
      </w:r>
      <w:r w:rsidR="00AD3A61">
        <w:rPr>
          <w:rFonts w:eastAsia="MS Mincho"/>
          <w:b/>
          <w:u w:val="single"/>
          <w:lang w:eastAsia="ja-JP"/>
        </w:rPr>
        <w:t xml:space="preserve">evaluation </w:t>
      </w:r>
      <w:r w:rsidR="00FF19AC">
        <w:rPr>
          <w:rFonts w:eastAsia="MS Mincho"/>
          <w:b/>
          <w:u w:val="single"/>
          <w:lang w:eastAsia="ja-JP"/>
        </w:rPr>
        <w:t>parameters</w:t>
      </w:r>
      <w:r w:rsidR="003671EE">
        <w:rPr>
          <w:rFonts w:eastAsia="MS Mincho"/>
          <w:b/>
          <w:u w:val="single"/>
          <w:lang w:eastAsia="ja-JP"/>
        </w:rPr>
        <w:t xml:space="preserve"> can be</w:t>
      </w:r>
      <w:r>
        <w:rPr>
          <w:rFonts w:eastAsia="MS Mincho"/>
          <w:b/>
          <w:u w:val="single"/>
          <w:lang w:eastAsia="ja-JP"/>
        </w:rPr>
        <w:t xml:space="preserve"> </w:t>
      </w:r>
      <w:r w:rsidR="00C4654D">
        <w:rPr>
          <w:rFonts w:eastAsia="MS Mincho"/>
          <w:b/>
          <w:u w:val="single"/>
          <w:lang w:eastAsia="ja-JP"/>
        </w:rPr>
        <w:t>partly</w:t>
      </w:r>
      <w:r w:rsidR="00FF19AC">
        <w:rPr>
          <w:rFonts w:eastAsia="MS Mincho"/>
          <w:b/>
          <w:u w:val="single"/>
          <w:lang w:eastAsia="ja-JP"/>
        </w:rPr>
        <w:t xml:space="preserve"> </w:t>
      </w:r>
      <w:r>
        <w:rPr>
          <w:rFonts w:eastAsia="MS Mincho"/>
          <w:b/>
          <w:u w:val="single"/>
          <w:lang w:eastAsia="ja-JP"/>
        </w:rPr>
        <w:t>reused from</w:t>
      </w:r>
      <w:r w:rsidR="00FF19AC">
        <w:rPr>
          <w:rFonts w:eastAsia="MS Mincho"/>
          <w:b/>
          <w:u w:val="single"/>
          <w:lang w:eastAsia="ja-JP"/>
        </w:rPr>
        <w:t xml:space="preserve"> </w:t>
      </w:r>
      <w:r w:rsidR="00A71926">
        <w:rPr>
          <w:rFonts w:eastAsia="MS Mincho"/>
          <w:b/>
          <w:u w:val="single"/>
          <w:lang w:eastAsia="ja-JP"/>
        </w:rPr>
        <w:t xml:space="preserve">LAA evaluation scenarios, </w:t>
      </w:r>
      <w:r w:rsidR="00DB1292">
        <w:rPr>
          <w:rFonts w:eastAsia="MS Mincho"/>
          <w:b/>
          <w:u w:val="single"/>
          <w:lang w:eastAsia="ja-JP"/>
        </w:rPr>
        <w:t>w</w:t>
      </w:r>
      <w:r w:rsidR="00A71926">
        <w:rPr>
          <w:rFonts w:eastAsia="MS Mincho"/>
          <w:b/>
          <w:u w:val="single"/>
          <w:lang w:eastAsia="ja-JP"/>
        </w:rPr>
        <w:t>ith the exception</w:t>
      </w:r>
      <w:r w:rsidR="008F5B1E">
        <w:rPr>
          <w:rFonts w:eastAsia="MS Mincho"/>
          <w:b/>
          <w:u w:val="single"/>
          <w:lang w:eastAsia="ja-JP"/>
        </w:rPr>
        <w:t>s</w:t>
      </w:r>
      <w:r w:rsidR="00A71926">
        <w:rPr>
          <w:rFonts w:eastAsia="MS Mincho"/>
          <w:b/>
          <w:u w:val="single"/>
          <w:lang w:eastAsia="ja-JP"/>
        </w:rPr>
        <w:t xml:space="preserve"> </w:t>
      </w:r>
      <w:r w:rsidR="00DB1292">
        <w:rPr>
          <w:rFonts w:eastAsia="MS Mincho"/>
          <w:b/>
          <w:u w:val="single"/>
          <w:lang w:eastAsia="ja-JP"/>
        </w:rPr>
        <w:t>including</w:t>
      </w:r>
      <w:r w:rsidR="00A71926">
        <w:rPr>
          <w:rFonts w:eastAsia="MS Mincho"/>
          <w:b/>
          <w:u w:val="single"/>
          <w:lang w:eastAsia="ja-JP"/>
        </w:rPr>
        <w:t xml:space="preserve"> </w:t>
      </w:r>
      <w:r w:rsidR="006D681F">
        <w:rPr>
          <w:rFonts w:eastAsia="MS Mincho"/>
          <w:b/>
          <w:u w:val="single"/>
          <w:lang w:eastAsia="ja-JP"/>
        </w:rPr>
        <w:t xml:space="preserve">carrier frequency, </w:t>
      </w:r>
      <w:r w:rsidR="00A71926">
        <w:rPr>
          <w:rFonts w:eastAsia="MS Mincho"/>
          <w:b/>
          <w:u w:val="single"/>
          <w:lang w:eastAsia="ja-JP"/>
        </w:rPr>
        <w:t xml:space="preserve">subcarrier spacing, system bandwidth, </w:t>
      </w:r>
      <w:r w:rsidR="00E76367">
        <w:rPr>
          <w:rFonts w:eastAsia="MS Mincho"/>
          <w:b/>
          <w:u w:val="single"/>
          <w:lang w:eastAsia="ja-JP"/>
        </w:rPr>
        <w:t>antenna</w:t>
      </w:r>
      <w:r w:rsidR="00A71926">
        <w:rPr>
          <w:rFonts w:eastAsia="MS Mincho"/>
          <w:b/>
          <w:u w:val="single"/>
          <w:lang w:eastAsia="ja-JP"/>
        </w:rPr>
        <w:t xml:space="preserve"> array configuration</w:t>
      </w:r>
      <w:r w:rsidR="001946AD">
        <w:rPr>
          <w:rFonts w:eastAsia="MS Mincho"/>
          <w:b/>
          <w:u w:val="single"/>
          <w:lang w:eastAsia="ja-JP"/>
        </w:rPr>
        <w:t>s</w:t>
      </w:r>
      <w:r w:rsidR="00B845BB">
        <w:rPr>
          <w:rFonts w:eastAsia="MS Mincho"/>
          <w:b/>
          <w:u w:val="single"/>
          <w:lang w:eastAsia="ja-JP"/>
        </w:rPr>
        <w:t>, and layout for nodes</w:t>
      </w:r>
      <w:r>
        <w:rPr>
          <w:rFonts w:eastAsia="MS Mincho"/>
          <w:b/>
          <w:u w:val="single"/>
          <w:lang w:eastAsia="ja-JP"/>
        </w:rPr>
        <w:t>.</w:t>
      </w:r>
    </w:p>
    <w:p w14:paraId="643D2051" w14:textId="77777777" w:rsidR="006165AE" w:rsidRDefault="006165AE" w:rsidP="00956FDD">
      <w:pPr>
        <w:spacing w:before="120" w:after="120" w:line="288" w:lineRule="auto"/>
        <w:jc w:val="both"/>
        <w:rPr>
          <w:rFonts w:eastAsia="MS Mincho"/>
          <w:b/>
          <w:u w:val="single"/>
          <w:lang w:eastAsia="ja-JP"/>
        </w:rPr>
      </w:pPr>
    </w:p>
    <w:p w14:paraId="496C7288" w14:textId="77777777" w:rsidR="003F7590" w:rsidRPr="006165AE" w:rsidRDefault="00BE0C97" w:rsidP="006165AE">
      <w:pPr>
        <w:pStyle w:val="Heading3"/>
        <w:numPr>
          <w:ilvl w:val="1"/>
          <w:numId w:val="10"/>
        </w:numPr>
      </w:pPr>
      <w:r w:rsidRPr="006165AE">
        <w:t>Channel Access</w:t>
      </w:r>
      <w:r w:rsidR="003F7590" w:rsidRPr="006165AE">
        <w:t xml:space="preserve"> Mechanism</w:t>
      </w:r>
      <w:r w:rsidR="00AB3C72" w:rsidRPr="006165AE">
        <w:t>s</w:t>
      </w:r>
      <w:r w:rsidR="003F7590" w:rsidRPr="006165AE">
        <w:t xml:space="preserve"> of NR-U for Evaluation</w:t>
      </w:r>
    </w:p>
    <w:p w14:paraId="60729EBA" w14:textId="33A8784A" w:rsidR="0040529D" w:rsidRPr="006165AE" w:rsidRDefault="0009254A" w:rsidP="006165AE">
      <w:pPr>
        <w:pStyle w:val="Default"/>
        <w:spacing w:before="120" w:after="60" w:line="288" w:lineRule="auto"/>
        <w:jc w:val="both"/>
        <w:rPr>
          <w:sz w:val="20"/>
          <w:szCs w:val="14"/>
        </w:rPr>
      </w:pPr>
      <w:r w:rsidRPr="006165AE">
        <w:rPr>
          <w:sz w:val="20"/>
          <w:szCs w:val="14"/>
        </w:rPr>
        <w:t xml:space="preserve">LTE Rel-13 </w:t>
      </w:r>
      <w:r w:rsidR="00184776" w:rsidRPr="006165AE">
        <w:rPr>
          <w:sz w:val="20"/>
          <w:szCs w:val="14"/>
        </w:rPr>
        <w:t xml:space="preserve">LAA </w:t>
      </w:r>
      <w:r w:rsidRPr="006165AE">
        <w:rPr>
          <w:sz w:val="20"/>
          <w:szCs w:val="14"/>
        </w:rPr>
        <w:t xml:space="preserve">and Rel-14 eLAA introduced </w:t>
      </w:r>
      <w:r w:rsidR="00C241E6" w:rsidRPr="006165AE">
        <w:rPr>
          <w:sz w:val="20"/>
          <w:szCs w:val="14"/>
        </w:rPr>
        <w:t xml:space="preserve">omni-directional energy detection based </w:t>
      </w:r>
      <w:r w:rsidRPr="006165AE">
        <w:rPr>
          <w:sz w:val="20"/>
          <w:szCs w:val="14"/>
        </w:rPr>
        <w:t>clear channel assessment protocols for both downlink and uplink operations.</w:t>
      </w:r>
      <w:r w:rsidR="005D7D00" w:rsidRPr="006165AE">
        <w:rPr>
          <w:sz w:val="20"/>
          <w:szCs w:val="14"/>
        </w:rPr>
        <w:t xml:space="preserve"> </w:t>
      </w:r>
      <w:r w:rsidR="00F32C8D" w:rsidRPr="006165AE">
        <w:rPr>
          <w:sz w:val="20"/>
          <w:szCs w:val="14"/>
        </w:rPr>
        <w:t>The</w:t>
      </w:r>
      <w:r w:rsidR="008A4C84" w:rsidRPr="006165AE">
        <w:rPr>
          <w:sz w:val="20"/>
          <w:szCs w:val="14"/>
        </w:rPr>
        <w:t>se</w:t>
      </w:r>
      <w:r w:rsidR="00F32C8D" w:rsidRPr="006165AE">
        <w:rPr>
          <w:sz w:val="20"/>
          <w:szCs w:val="14"/>
        </w:rPr>
        <w:t xml:space="preserve"> LBT procedures of LAA</w:t>
      </w:r>
      <w:r w:rsidR="008808AD" w:rsidRPr="006165AE">
        <w:rPr>
          <w:sz w:val="20"/>
          <w:szCs w:val="14"/>
        </w:rPr>
        <w:t>/eLAA</w:t>
      </w:r>
      <w:r w:rsidR="00F32C8D" w:rsidRPr="006165AE">
        <w:rPr>
          <w:sz w:val="20"/>
          <w:szCs w:val="14"/>
        </w:rPr>
        <w:t xml:space="preserve"> can be utilized as the baseline channel access framework</w:t>
      </w:r>
      <w:r w:rsidR="00595FFE" w:rsidRPr="006165AE">
        <w:rPr>
          <w:sz w:val="20"/>
          <w:szCs w:val="14"/>
        </w:rPr>
        <w:t>s</w:t>
      </w:r>
      <w:r w:rsidR="00F32C8D" w:rsidRPr="006165AE">
        <w:rPr>
          <w:sz w:val="20"/>
          <w:szCs w:val="14"/>
        </w:rPr>
        <w:t xml:space="preserve"> for NR-U. </w:t>
      </w:r>
      <w:r w:rsidR="00A76A58" w:rsidRPr="006165AE">
        <w:rPr>
          <w:sz w:val="20"/>
          <w:szCs w:val="14"/>
        </w:rPr>
        <w:t>G</w:t>
      </w:r>
      <w:r w:rsidR="00BE0C97" w:rsidRPr="006165AE">
        <w:rPr>
          <w:sz w:val="20"/>
          <w:szCs w:val="14"/>
        </w:rPr>
        <w:t>iven the</w:t>
      </w:r>
      <w:r w:rsidR="005D7D00" w:rsidRPr="006165AE">
        <w:rPr>
          <w:sz w:val="20"/>
          <w:szCs w:val="14"/>
        </w:rPr>
        <w:t xml:space="preserve"> support </w:t>
      </w:r>
      <w:r w:rsidR="00BE0C97" w:rsidRPr="006165AE">
        <w:rPr>
          <w:sz w:val="20"/>
          <w:szCs w:val="14"/>
        </w:rPr>
        <w:t>of</w:t>
      </w:r>
      <w:r w:rsidR="005D7D00" w:rsidRPr="006165AE">
        <w:rPr>
          <w:sz w:val="20"/>
          <w:szCs w:val="14"/>
        </w:rPr>
        <w:t xml:space="preserve"> multi-beam operation </w:t>
      </w:r>
      <w:r w:rsidR="00BE0C97" w:rsidRPr="006165AE">
        <w:rPr>
          <w:sz w:val="20"/>
          <w:szCs w:val="14"/>
        </w:rPr>
        <w:t>for NR-U</w:t>
      </w:r>
      <w:r w:rsidR="005D7D00" w:rsidRPr="006165AE">
        <w:rPr>
          <w:sz w:val="20"/>
          <w:szCs w:val="14"/>
        </w:rPr>
        <w:t xml:space="preserve">, the directionality of LBT is </w:t>
      </w:r>
      <w:r w:rsidR="00A76A58" w:rsidRPr="006165AE">
        <w:rPr>
          <w:sz w:val="20"/>
          <w:szCs w:val="14"/>
        </w:rPr>
        <w:t xml:space="preserve">also </w:t>
      </w:r>
      <w:r w:rsidR="005D7D00" w:rsidRPr="006165AE">
        <w:rPr>
          <w:sz w:val="20"/>
          <w:szCs w:val="14"/>
        </w:rPr>
        <w:t>an important</w:t>
      </w:r>
      <w:r w:rsidR="007409A0" w:rsidRPr="006165AE">
        <w:rPr>
          <w:sz w:val="20"/>
          <w:szCs w:val="14"/>
        </w:rPr>
        <w:t xml:space="preserve"> factor for NR-U coexistence</w:t>
      </w:r>
      <w:r w:rsidR="00FB41EB" w:rsidRPr="006165AE">
        <w:rPr>
          <w:sz w:val="20"/>
          <w:szCs w:val="14"/>
        </w:rPr>
        <w:t xml:space="preserve"> performance</w:t>
      </w:r>
      <w:r w:rsidR="007409A0" w:rsidRPr="006165AE">
        <w:rPr>
          <w:sz w:val="20"/>
          <w:szCs w:val="14"/>
        </w:rPr>
        <w:t xml:space="preserve"> evaluation</w:t>
      </w:r>
      <w:r w:rsidR="005D7D00" w:rsidRPr="006165AE">
        <w:rPr>
          <w:sz w:val="20"/>
          <w:szCs w:val="14"/>
        </w:rPr>
        <w:t xml:space="preserve">. One option is </w:t>
      </w:r>
      <w:r w:rsidR="001A40E5" w:rsidRPr="006165AE">
        <w:rPr>
          <w:sz w:val="20"/>
          <w:szCs w:val="14"/>
        </w:rPr>
        <w:t xml:space="preserve">for NR-U gNB/UE </w:t>
      </w:r>
      <w:r w:rsidR="005D7D00" w:rsidRPr="006165AE">
        <w:rPr>
          <w:sz w:val="20"/>
          <w:szCs w:val="14"/>
        </w:rPr>
        <w:t xml:space="preserve">to perform LBT omni-directionally similar to LAA and Wi-Fi in the 5 GHz unlicensed band. This option can provide good coexistence with these incumbent systems, but is conservative to support the multi-beam operation since interference from every direction is sensed uniformly. Another option is for the </w:t>
      </w:r>
      <w:r w:rsidR="00614B19" w:rsidRPr="006165AE">
        <w:rPr>
          <w:sz w:val="20"/>
          <w:szCs w:val="14"/>
        </w:rPr>
        <w:t xml:space="preserve">NR-U </w:t>
      </w:r>
      <w:r w:rsidR="005D7D00" w:rsidRPr="006165AE">
        <w:rPr>
          <w:sz w:val="20"/>
          <w:szCs w:val="14"/>
        </w:rPr>
        <w:t xml:space="preserve">transmitter to perform </w:t>
      </w:r>
      <w:r w:rsidR="00710FAD" w:rsidRPr="006165AE">
        <w:rPr>
          <w:sz w:val="20"/>
          <w:szCs w:val="14"/>
        </w:rPr>
        <w:t xml:space="preserve">a </w:t>
      </w:r>
      <w:r w:rsidR="005D7D00" w:rsidRPr="006165AE">
        <w:rPr>
          <w:sz w:val="20"/>
          <w:szCs w:val="14"/>
        </w:rPr>
        <w:t xml:space="preserve">directional LBT over the intended </w:t>
      </w:r>
      <w:r w:rsidR="00CE5606" w:rsidRPr="006165AE">
        <w:rPr>
          <w:sz w:val="20"/>
          <w:szCs w:val="14"/>
        </w:rPr>
        <w:t xml:space="preserve">transmit </w:t>
      </w:r>
      <w:r w:rsidR="00E97630" w:rsidRPr="006165AE">
        <w:rPr>
          <w:sz w:val="20"/>
          <w:szCs w:val="14"/>
        </w:rPr>
        <w:t>beam direction. This option</w:t>
      </w:r>
      <w:r w:rsidR="00587DE0" w:rsidRPr="006165AE">
        <w:rPr>
          <w:sz w:val="20"/>
          <w:szCs w:val="14"/>
        </w:rPr>
        <w:t xml:space="preserve"> </w:t>
      </w:r>
      <w:r w:rsidR="005D7D00" w:rsidRPr="006165AE">
        <w:rPr>
          <w:sz w:val="20"/>
          <w:szCs w:val="14"/>
        </w:rPr>
        <w:t>is more suitable for multi-beam operatio</w:t>
      </w:r>
      <w:r w:rsidR="005D3F76" w:rsidRPr="006165AE">
        <w:rPr>
          <w:sz w:val="20"/>
          <w:szCs w:val="14"/>
        </w:rPr>
        <w:t xml:space="preserve">n and can improve spatial reuse, but is potentially subject to </w:t>
      </w:r>
      <w:r w:rsidR="009815C1" w:rsidRPr="006165AE">
        <w:rPr>
          <w:sz w:val="20"/>
          <w:szCs w:val="14"/>
        </w:rPr>
        <w:t xml:space="preserve">severe </w:t>
      </w:r>
      <w:r w:rsidR="005D3F76" w:rsidRPr="006165AE">
        <w:rPr>
          <w:sz w:val="20"/>
          <w:szCs w:val="14"/>
        </w:rPr>
        <w:t>hidden terminal and exposed terminal issues.</w:t>
      </w:r>
    </w:p>
    <w:p w14:paraId="28401ED0" w14:textId="77777777" w:rsidR="003F7590" w:rsidRDefault="0040529D" w:rsidP="00956FDD">
      <w:pPr>
        <w:spacing w:before="120" w:after="120" w:line="288" w:lineRule="auto"/>
        <w:jc w:val="both"/>
        <w:rPr>
          <w:rFonts w:eastAsia="MS Mincho"/>
          <w:lang w:eastAsia="ja-JP"/>
        </w:rPr>
      </w:pPr>
      <w:r>
        <w:rPr>
          <w:rFonts w:eastAsia="MS Mincho"/>
          <w:lang w:eastAsia="ja-JP"/>
        </w:rPr>
        <w:t>Therefore</w:t>
      </w:r>
      <w:r w:rsidR="00AF2BC8">
        <w:rPr>
          <w:rFonts w:eastAsia="MS Mincho"/>
          <w:lang w:eastAsia="ja-JP"/>
        </w:rPr>
        <w:t>, at least for the sub-7 GHz</w:t>
      </w:r>
      <w:r w:rsidR="00EF3B70">
        <w:rPr>
          <w:rFonts w:eastAsia="MS Mincho"/>
          <w:lang w:eastAsia="ja-JP"/>
        </w:rPr>
        <w:t xml:space="preserve"> unlicensed</w:t>
      </w:r>
      <w:r w:rsidR="00AF2BC8">
        <w:rPr>
          <w:rFonts w:eastAsia="MS Mincho"/>
          <w:lang w:eastAsia="ja-JP"/>
        </w:rPr>
        <w:t xml:space="preserve"> bands</w:t>
      </w:r>
      <w:r>
        <w:rPr>
          <w:rFonts w:eastAsia="MS Mincho"/>
          <w:lang w:eastAsia="ja-JP"/>
        </w:rPr>
        <w:t xml:space="preserve">, </w:t>
      </w:r>
      <w:r w:rsidR="008A4C84">
        <w:rPr>
          <w:rFonts w:eastAsia="MS Mincho"/>
          <w:lang w:eastAsia="ja-JP"/>
        </w:rPr>
        <w:t xml:space="preserve">both </w:t>
      </w:r>
      <w:r>
        <w:rPr>
          <w:rFonts w:eastAsia="MS Mincho"/>
          <w:lang w:eastAsia="ja-JP"/>
        </w:rPr>
        <w:t xml:space="preserve">the </w:t>
      </w:r>
      <w:r w:rsidR="008A4C84">
        <w:rPr>
          <w:rFonts w:eastAsia="MS Mincho"/>
          <w:lang w:eastAsia="ja-JP"/>
        </w:rPr>
        <w:t xml:space="preserve">omni-directional </w:t>
      </w:r>
      <w:r>
        <w:rPr>
          <w:rFonts w:eastAsia="MS Mincho"/>
          <w:lang w:eastAsia="ja-JP"/>
        </w:rPr>
        <w:t>a</w:t>
      </w:r>
      <w:r w:rsidR="008A4C84">
        <w:rPr>
          <w:rFonts w:eastAsia="MS Mincho"/>
          <w:lang w:eastAsia="ja-JP"/>
        </w:rPr>
        <w:t xml:space="preserve">nd directional LBT options can be evaluated to investigate the coexistence performance between the NR-U operator and </w:t>
      </w:r>
      <w:r w:rsidR="00E47391">
        <w:rPr>
          <w:rFonts w:eastAsia="MS Mincho"/>
          <w:lang w:eastAsia="ja-JP"/>
        </w:rPr>
        <w:t>the coexisting operator</w:t>
      </w:r>
      <w:r w:rsidR="00F75444">
        <w:rPr>
          <w:rFonts w:eastAsia="MS Mincho"/>
          <w:lang w:eastAsia="ja-JP"/>
        </w:rPr>
        <w:t xml:space="preserve">. </w:t>
      </w:r>
      <w:r w:rsidR="001623D7">
        <w:rPr>
          <w:rFonts w:eastAsia="MS Mincho"/>
          <w:lang w:eastAsia="ja-JP"/>
        </w:rPr>
        <w:t xml:space="preserve">In addition, the </w:t>
      </w:r>
      <w:r w:rsidR="00FC4883">
        <w:rPr>
          <w:rFonts w:eastAsia="MS Mincho"/>
          <w:lang w:eastAsia="ja-JP"/>
        </w:rPr>
        <w:t>severity</w:t>
      </w:r>
      <w:r w:rsidR="000D0A89">
        <w:rPr>
          <w:rFonts w:eastAsia="MS Mincho"/>
          <w:lang w:eastAsia="ja-JP"/>
        </w:rPr>
        <w:t xml:space="preserve"> of the</w:t>
      </w:r>
      <w:r w:rsidR="001623D7">
        <w:rPr>
          <w:rFonts w:eastAsia="MS Mincho"/>
          <w:lang w:eastAsia="ja-JP"/>
        </w:rPr>
        <w:t xml:space="preserve"> hidden node and exposed node issues with directional LBT can also be evaluated. </w:t>
      </w:r>
    </w:p>
    <w:p w14:paraId="3EEAD1DA" w14:textId="171198C7" w:rsidR="00FA7A7F" w:rsidRDefault="00FA7A7F"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E35D59">
        <w:rPr>
          <w:rFonts w:eastAsia="MS Mincho"/>
          <w:b/>
          <w:u w:val="single"/>
          <w:lang w:eastAsia="ja-JP"/>
        </w:rPr>
        <w:t>3</w:t>
      </w:r>
      <w:r>
        <w:rPr>
          <w:rFonts w:eastAsia="MS Mincho"/>
          <w:b/>
          <w:u w:val="single"/>
          <w:lang w:eastAsia="ja-JP"/>
        </w:rPr>
        <w:t xml:space="preserve">: </w:t>
      </w:r>
      <w:r w:rsidR="0051303C">
        <w:rPr>
          <w:rFonts w:eastAsia="MS Mincho"/>
          <w:b/>
          <w:u w:val="single"/>
          <w:lang w:eastAsia="ja-JP"/>
        </w:rPr>
        <w:t xml:space="preserve">NR-U </w:t>
      </w:r>
      <w:r w:rsidR="00993E0A">
        <w:rPr>
          <w:rFonts w:eastAsia="MS Mincho"/>
          <w:b/>
          <w:u w:val="single"/>
          <w:lang w:eastAsia="ja-JP"/>
        </w:rPr>
        <w:t xml:space="preserve">can evaluate </w:t>
      </w:r>
      <w:r w:rsidR="00344069">
        <w:rPr>
          <w:rFonts w:eastAsia="MS Mincho"/>
          <w:b/>
          <w:u w:val="single"/>
          <w:lang w:eastAsia="ja-JP"/>
        </w:rPr>
        <w:t xml:space="preserve">the coexistence performance of </w:t>
      </w:r>
      <w:r>
        <w:rPr>
          <w:rFonts w:eastAsia="MS Mincho"/>
          <w:b/>
          <w:u w:val="single"/>
          <w:lang w:eastAsia="ja-JP"/>
        </w:rPr>
        <w:t>both omni-directional LBT and directional LBT</w:t>
      </w:r>
      <w:r w:rsidR="00B57F73">
        <w:rPr>
          <w:rFonts w:eastAsia="MS Mincho"/>
          <w:b/>
          <w:u w:val="single"/>
          <w:lang w:eastAsia="ja-JP"/>
        </w:rPr>
        <w:t xml:space="preserve"> </w:t>
      </w:r>
      <w:r w:rsidR="00993E0A">
        <w:rPr>
          <w:rFonts w:eastAsia="MS Mincho"/>
          <w:b/>
          <w:u w:val="single"/>
          <w:lang w:eastAsia="ja-JP"/>
        </w:rPr>
        <w:t>based channel access mechanisms</w:t>
      </w:r>
      <w:r w:rsidR="00C31411">
        <w:rPr>
          <w:rFonts w:eastAsia="MS Mincho"/>
          <w:b/>
          <w:u w:val="single"/>
          <w:lang w:eastAsia="ja-JP"/>
        </w:rPr>
        <w:t xml:space="preserve"> in sub-7 GHz </w:t>
      </w:r>
      <w:r w:rsidR="004E74F4">
        <w:rPr>
          <w:rFonts w:eastAsia="MS Mincho"/>
          <w:b/>
          <w:u w:val="single"/>
          <w:lang w:eastAsia="ja-JP"/>
        </w:rPr>
        <w:t xml:space="preserve">unlicensed </w:t>
      </w:r>
      <w:r w:rsidR="00C31411">
        <w:rPr>
          <w:rFonts w:eastAsia="MS Mincho"/>
          <w:b/>
          <w:u w:val="single"/>
          <w:lang w:eastAsia="ja-JP"/>
        </w:rPr>
        <w:t>bands</w:t>
      </w:r>
      <w:r w:rsidR="00993E0A">
        <w:rPr>
          <w:rFonts w:eastAsia="MS Mincho"/>
          <w:b/>
          <w:u w:val="single"/>
          <w:lang w:eastAsia="ja-JP"/>
        </w:rPr>
        <w:t>.</w:t>
      </w:r>
      <w:r>
        <w:rPr>
          <w:rFonts w:eastAsia="MS Mincho"/>
          <w:b/>
          <w:u w:val="single"/>
          <w:lang w:eastAsia="ja-JP"/>
        </w:rPr>
        <w:t xml:space="preserve"> </w:t>
      </w:r>
    </w:p>
    <w:p w14:paraId="191ECDBB" w14:textId="77777777" w:rsidR="00D27A01" w:rsidRPr="00C72AE3" w:rsidRDefault="00D27A01" w:rsidP="00956FDD">
      <w:pPr>
        <w:spacing w:before="120" w:after="120" w:line="288" w:lineRule="auto"/>
        <w:jc w:val="both"/>
        <w:rPr>
          <w:rFonts w:eastAsia="MS Mincho"/>
          <w:b/>
          <w:u w:val="single"/>
          <w:lang w:eastAsia="ja-JP"/>
        </w:rPr>
      </w:pPr>
    </w:p>
    <w:p w14:paraId="51816C30" w14:textId="77777777" w:rsidR="00F57538" w:rsidRPr="006165AE" w:rsidRDefault="00F57538" w:rsidP="006165AE">
      <w:pPr>
        <w:pStyle w:val="Heading3"/>
        <w:numPr>
          <w:ilvl w:val="1"/>
          <w:numId w:val="10"/>
        </w:numPr>
      </w:pPr>
      <w:r w:rsidRPr="006165AE">
        <w:t>Coexisting System with NR-U for Evaluation</w:t>
      </w:r>
    </w:p>
    <w:p w14:paraId="6D205F07" w14:textId="78F07AB5" w:rsidR="00D57BE5" w:rsidRDefault="00D57BE5" w:rsidP="00956FDD">
      <w:pPr>
        <w:pStyle w:val="Default"/>
        <w:spacing w:before="120" w:after="120" w:line="288" w:lineRule="auto"/>
        <w:jc w:val="both"/>
        <w:rPr>
          <w:sz w:val="20"/>
          <w:szCs w:val="14"/>
          <w:lang w:val="en-GB"/>
        </w:rPr>
      </w:pPr>
      <w:r>
        <w:rPr>
          <w:sz w:val="20"/>
          <w:szCs w:val="14"/>
          <w:lang w:val="en-GB"/>
        </w:rPr>
        <w:t>According to SID on NR-U [</w:t>
      </w:r>
      <w:r w:rsidR="00E358DF">
        <w:rPr>
          <w:sz w:val="20"/>
          <w:szCs w:val="14"/>
          <w:lang w:val="en-GB"/>
        </w:rPr>
        <w:t>2</w:t>
      </w:r>
      <w:r>
        <w:rPr>
          <w:sz w:val="20"/>
          <w:szCs w:val="14"/>
          <w:lang w:val="en-GB"/>
        </w:rPr>
        <w:t>], an important design objective for NR-U is to ensure fair coexistence within NR-based operation</w:t>
      </w:r>
      <w:r w:rsidR="003D50D7">
        <w:rPr>
          <w:sz w:val="20"/>
          <w:szCs w:val="14"/>
          <w:lang w:val="en-GB"/>
        </w:rPr>
        <w:t>s</w:t>
      </w:r>
      <w:r>
        <w:rPr>
          <w:sz w:val="20"/>
          <w:szCs w:val="14"/>
          <w:lang w:val="en-GB"/>
        </w:rPr>
        <w:t xml:space="preserve"> in unlicensed, and between NR-based operation in unlicensed and other incumbent RATs in the unlicensed band. Therefore, the </w:t>
      </w:r>
      <w:r w:rsidR="00B04C27">
        <w:rPr>
          <w:sz w:val="20"/>
          <w:szCs w:val="14"/>
          <w:lang w:val="en-GB"/>
        </w:rPr>
        <w:t xml:space="preserve">simulation methodology also needs to specify the </w:t>
      </w:r>
      <w:r>
        <w:rPr>
          <w:sz w:val="20"/>
          <w:szCs w:val="14"/>
          <w:lang w:val="en-GB"/>
        </w:rPr>
        <w:t xml:space="preserve">system </w:t>
      </w:r>
      <w:r w:rsidR="00AB4865">
        <w:rPr>
          <w:sz w:val="20"/>
          <w:szCs w:val="14"/>
          <w:lang w:val="en-GB"/>
        </w:rPr>
        <w:t xml:space="preserve">that coexists </w:t>
      </w:r>
      <w:r>
        <w:rPr>
          <w:sz w:val="20"/>
          <w:szCs w:val="14"/>
          <w:lang w:val="en-GB"/>
        </w:rPr>
        <w:t>with</w:t>
      </w:r>
      <w:r w:rsidR="00B04C27">
        <w:rPr>
          <w:sz w:val="20"/>
          <w:szCs w:val="14"/>
          <w:lang w:val="en-GB"/>
        </w:rPr>
        <w:t xml:space="preserve"> the</w:t>
      </w:r>
      <w:r>
        <w:rPr>
          <w:sz w:val="20"/>
          <w:szCs w:val="14"/>
          <w:lang w:val="en-GB"/>
        </w:rPr>
        <w:t xml:space="preserve"> NR-U </w:t>
      </w:r>
      <w:r w:rsidR="00B04C27">
        <w:rPr>
          <w:sz w:val="20"/>
          <w:szCs w:val="14"/>
          <w:lang w:val="en-GB"/>
        </w:rPr>
        <w:t>operator</w:t>
      </w:r>
      <w:r w:rsidR="008C788A">
        <w:rPr>
          <w:sz w:val="20"/>
          <w:szCs w:val="14"/>
          <w:lang w:val="en-GB"/>
        </w:rPr>
        <w:t xml:space="preserve"> in the</w:t>
      </w:r>
      <w:r w:rsidR="002F2507">
        <w:rPr>
          <w:sz w:val="20"/>
          <w:szCs w:val="14"/>
          <w:lang w:val="en-GB"/>
        </w:rPr>
        <w:t xml:space="preserve"> evaluated</w:t>
      </w:r>
      <w:r w:rsidR="008C788A">
        <w:rPr>
          <w:sz w:val="20"/>
          <w:szCs w:val="14"/>
          <w:lang w:val="en-GB"/>
        </w:rPr>
        <w:t xml:space="preserve"> unlicensed band</w:t>
      </w:r>
      <w:r w:rsidR="00B04C27">
        <w:rPr>
          <w:sz w:val="20"/>
          <w:szCs w:val="14"/>
          <w:lang w:val="en-GB"/>
        </w:rPr>
        <w:t>.</w:t>
      </w:r>
      <w:r w:rsidR="007F3C1E">
        <w:rPr>
          <w:sz w:val="20"/>
          <w:szCs w:val="14"/>
          <w:lang w:val="en-GB"/>
        </w:rPr>
        <w:t xml:space="preserve"> </w:t>
      </w:r>
    </w:p>
    <w:p w14:paraId="0DEA7779" w14:textId="77777777" w:rsidR="00335F52" w:rsidRPr="00E637AC" w:rsidRDefault="00F57538" w:rsidP="00956FDD">
      <w:pPr>
        <w:pStyle w:val="Default"/>
        <w:spacing w:before="120" w:after="120" w:line="288" w:lineRule="auto"/>
        <w:jc w:val="both"/>
        <w:rPr>
          <w:sz w:val="20"/>
          <w:szCs w:val="14"/>
        </w:rPr>
      </w:pPr>
      <w:r w:rsidRPr="009F68D8">
        <w:rPr>
          <w:sz w:val="20"/>
          <w:szCs w:val="14"/>
        </w:rPr>
        <w:t>For 5 GHz</w:t>
      </w:r>
      <w:r w:rsidR="000B274F">
        <w:rPr>
          <w:sz w:val="20"/>
          <w:szCs w:val="14"/>
        </w:rPr>
        <w:t xml:space="preserve"> unlicensed spectrum</w:t>
      </w:r>
      <w:r w:rsidRPr="009F68D8">
        <w:rPr>
          <w:sz w:val="20"/>
          <w:szCs w:val="14"/>
        </w:rPr>
        <w:t xml:space="preserve">, the </w:t>
      </w:r>
      <w:r w:rsidR="00B824A8">
        <w:rPr>
          <w:sz w:val="20"/>
          <w:szCs w:val="14"/>
        </w:rPr>
        <w:t xml:space="preserve">main incumbent system for coexistence evaluation will be the </w:t>
      </w:r>
      <w:r w:rsidRPr="009F68D8">
        <w:rPr>
          <w:sz w:val="20"/>
          <w:szCs w:val="14"/>
        </w:rPr>
        <w:t xml:space="preserve">Wi-Fi </w:t>
      </w:r>
      <w:r w:rsidR="00CF58D5">
        <w:rPr>
          <w:sz w:val="20"/>
          <w:szCs w:val="14"/>
        </w:rPr>
        <w:t>system</w:t>
      </w:r>
      <w:r w:rsidR="00CF58D5" w:rsidRPr="009F68D8">
        <w:rPr>
          <w:sz w:val="20"/>
          <w:szCs w:val="14"/>
        </w:rPr>
        <w:t xml:space="preserve"> </w:t>
      </w:r>
      <w:r w:rsidRPr="009F68D8">
        <w:rPr>
          <w:sz w:val="20"/>
          <w:szCs w:val="14"/>
        </w:rPr>
        <w:t>(</w:t>
      </w:r>
      <w:r w:rsidR="00B824A8">
        <w:rPr>
          <w:sz w:val="20"/>
          <w:szCs w:val="14"/>
        </w:rPr>
        <w:t>e.g., IEEE 802.11 ac)</w:t>
      </w:r>
      <w:r w:rsidR="000F191F">
        <w:rPr>
          <w:sz w:val="20"/>
          <w:szCs w:val="14"/>
        </w:rPr>
        <w:t xml:space="preserve">; and the coexistence methods of NR-U should ensure the NR-U </w:t>
      </w:r>
      <w:r w:rsidR="00AC56FB">
        <w:rPr>
          <w:sz w:val="20"/>
          <w:szCs w:val="14"/>
        </w:rPr>
        <w:t>network</w:t>
      </w:r>
      <w:r w:rsidR="00010E76" w:rsidRPr="00010E76">
        <w:rPr>
          <w:sz w:val="20"/>
          <w:szCs w:val="14"/>
        </w:rPr>
        <w:t xml:space="preserve"> </w:t>
      </w:r>
      <w:r w:rsidR="00D02195">
        <w:rPr>
          <w:sz w:val="20"/>
          <w:szCs w:val="14"/>
        </w:rPr>
        <w:t>would</w:t>
      </w:r>
      <w:r w:rsidR="00010E76" w:rsidRPr="00010E76">
        <w:rPr>
          <w:sz w:val="20"/>
          <w:szCs w:val="14"/>
        </w:rPr>
        <w:t xml:space="preserve"> not </w:t>
      </w:r>
      <w:r w:rsidR="00D02195" w:rsidRPr="00010E76">
        <w:rPr>
          <w:sz w:val="20"/>
          <w:szCs w:val="14"/>
        </w:rPr>
        <w:t>affect</w:t>
      </w:r>
      <w:r w:rsidR="00010E76" w:rsidRPr="00010E76">
        <w:rPr>
          <w:sz w:val="20"/>
          <w:szCs w:val="14"/>
        </w:rPr>
        <w:t xml:space="preserve"> </w:t>
      </w:r>
      <w:r w:rsidR="000F191F">
        <w:rPr>
          <w:sz w:val="20"/>
          <w:szCs w:val="14"/>
        </w:rPr>
        <w:t xml:space="preserve">the </w:t>
      </w:r>
      <w:r w:rsidR="00360AD1">
        <w:rPr>
          <w:sz w:val="20"/>
          <w:szCs w:val="14"/>
        </w:rPr>
        <w:t xml:space="preserve">deployed </w:t>
      </w:r>
      <w:r w:rsidR="000F191F">
        <w:rPr>
          <w:sz w:val="20"/>
          <w:szCs w:val="14"/>
        </w:rPr>
        <w:t>Wi-Fi network</w:t>
      </w:r>
      <w:r w:rsidR="00010E76" w:rsidRPr="00010E76">
        <w:rPr>
          <w:sz w:val="20"/>
          <w:szCs w:val="14"/>
        </w:rPr>
        <w:t xml:space="preserve"> </w:t>
      </w:r>
      <w:r w:rsidR="0020337F">
        <w:rPr>
          <w:sz w:val="20"/>
          <w:szCs w:val="14"/>
        </w:rPr>
        <w:t xml:space="preserve">performance </w:t>
      </w:r>
      <w:r w:rsidR="00010E76" w:rsidRPr="00010E76">
        <w:rPr>
          <w:sz w:val="20"/>
          <w:szCs w:val="14"/>
        </w:rPr>
        <w:t>more than an additional Wi-Fi network on the same carrier</w:t>
      </w:r>
      <w:r w:rsidR="000F191F">
        <w:rPr>
          <w:sz w:val="20"/>
          <w:szCs w:val="14"/>
        </w:rPr>
        <w:t xml:space="preserve"> [</w:t>
      </w:r>
      <w:r w:rsidR="00250B6F">
        <w:rPr>
          <w:sz w:val="20"/>
          <w:szCs w:val="14"/>
        </w:rPr>
        <w:t>2]</w:t>
      </w:r>
      <w:r w:rsidR="00010E76">
        <w:rPr>
          <w:sz w:val="20"/>
          <w:szCs w:val="14"/>
        </w:rPr>
        <w:t xml:space="preserve">. </w:t>
      </w:r>
      <w:r w:rsidR="00E952D4">
        <w:rPr>
          <w:sz w:val="20"/>
          <w:szCs w:val="14"/>
        </w:rPr>
        <w:t xml:space="preserve">In addition, </w:t>
      </w:r>
      <w:r w:rsidR="00DA184C">
        <w:rPr>
          <w:sz w:val="20"/>
          <w:szCs w:val="14"/>
        </w:rPr>
        <w:t>coexistence perf</w:t>
      </w:r>
      <w:r w:rsidR="00574BA5">
        <w:rPr>
          <w:sz w:val="20"/>
          <w:szCs w:val="14"/>
        </w:rPr>
        <w:t>ormance</w:t>
      </w:r>
      <w:r w:rsidR="00DA184C">
        <w:rPr>
          <w:sz w:val="20"/>
          <w:szCs w:val="14"/>
        </w:rPr>
        <w:t xml:space="preserve"> between the NR-U operator and another NR-U operator on the same carrier</w:t>
      </w:r>
      <w:r w:rsidR="00574BA5">
        <w:rPr>
          <w:sz w:val="20"/>
          <w:szCs w:val="14"/>
        </w:rPr>
        <w:t xml:space="preserve"> can also be evaluated in the 5 GHz unlicensed spectrum</w:t>
      </w:r>
      <w:r w:rsidR="00D02195">
        <w:rPr>
          <w:sz w:val="20"/>
          <w:szCs w:val="14"/>
        </w:rPr>
        <w:t>.</w:t>
      </w:r>
      <w:r w:rsidR="00E637AC">
        <w:rPr>
          <w:sz w:val="20"/>
          <w:szCs w:val="14"/>
        </w:rPr>
        <w:t xml:space="preserve"> </w:t>
      </w:r>
      <w:r w:rsidRPr="009F68D8">
        <w:rPr>
          <w:sz w:val="20"/>
          <w:szCs w:val="14"/>
        </w:rPr>
        <w:t xml:space="preserve">For </w:t>
      </w:r>
      <w:r w:rsidR="000B274F">
        <w:rPr>
          <w:sz w:val="20"/>
          <w:szCs w:val="14"/>
        </w:rPr>
        <w:t xml:space="preserve">the </w:t>
      </w:r>
      <w:r w:rsidRPr="009F68D8">
        <w:rPr>
          <w:sz w:val="20"/>
          <w:szCs w:val="14"/>
        </w:rPr>
        <w:t xml:space="preserve">6 GHz </w:t>
      </w:r>
      <w:r w:rsidR="00A17A3A">
        <w:rPr>
          <w:sz w:val="20"/>
          <w:szCs w:val="14"/>
        </w:rPr>
        <w:t>green</w:t>
      </w:r>
      <w:r w:rsidR="0042324D">
        <w:rPr>
          <w:sz w:val="20"/>
          <w:szCs w:val="14"/>
        </w:rPr>
        <w:t>-</w:t>
      </w:r>
      <w:r w:rsidR="00A17A3A">
        <w:rPr>
          <w:sz w:val="20"/>
          <w:szCs w:val="14"/>
        </w:rPr>
        <w:t xml:space="preserve">field </w:t>
      </w:r>
      <w:r w:rsidR="000B274F">
        <w:rPr>
          <w:sz w:val="20"/>
          <w:szCs w:val="14"/>
        </w:rPr>
        <w:t xml:space="preserve">unlicensed </w:t>
      </w:r>
      <w:r w:rsidR="00A17A3A">
        <w:rPr>
          <w:sz w:val="20"/>
          <w:szCs w:val="14"/>
        </w:rPr>
        <w:t xml:space="preserve">spectrum </w:t>
      </w:r>
      <w:r w:rsidR="00E935E5">
        <w:rPr>
          <w:sz w:val="20"/>
          <w:szCs w:val="14"/>
        </w:rPr>
        <w:t>wherein</w:t>
      </w:r>
      <w:r w:rsidR="00E637AC">
        <w:rPr>
          <w:sz w:val="20"/>
          <w:szCs w:val="14"/>
        </w:rPr>
        <w:t xml:space="preserve"> the main incumbents </w:t>
      </w:r>
      <w:r w:rsidR="00E935E5">
        <w:rPr>
          <w:sz w:val="20"/>
          <w:szCs w:val="14"/>
        </w:rPr>
        <w:t>are</w:t>
      </w:r>
      <w:r w:rsidR="00E637AC">
        <w:rPr>
          <w:sz w:val="20"/>
          <w:szCs w:val="14"/>
        </w:rPr>
        <w:t xml:space="preserve"> the fixed satellite service (FSS) and fixed service (FS), the </w:t>
      </w:r>
      <w:r w:rsidR="00E935E5">
        <w:rPr>
          <w:sz w:val="20"/>
          <w:szCs w:val="14"/>
        </w:rPr>
        <w:t xml:space="preserve">coexistence performance </w:t>
      </w:r>
      <w:r w:rsidR="007D7C7C">
        <w:rPr>
          <w:sz w:val="20"/>
          <w:szCs w:val="14"/>
        </w:rPr>
        <w:t>between</w:t>
      </w:r>
      <w:r w:rsidR="00E935E5">
        <w:rPr>
          <w:sz w:val="20"/>
          <w:szCs w:val="14"/>
        </w:rPr>
        <w:t xml:space="preserve"> two NR-U operators on the same carrier shall be evaluated</w:t>
      </w:r>
      <w:r w:rsidRPr="009F68D8">
        <w:rPr>
          <w:sz w:val="20"/>
          <w:szCs w:val="14"/>
        </w:rPr>
        <w:t xml:space="preserve">. </w:t>
      </w:r>
    </w:p>
    <w:p w14:paraId="76F60E08" w14:textId="407F6D9C" w:rsidR="00335F52" w:rsidRDefault="00335F52"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E35D59">
        <w:rPr>
          <w:rFonts w:eastAsia="MS Mincho"/>
          <w:b/>
          <w:u w:val="single"/>
          <w:lang w:eastAsia="ja-JP"/>
        </w:rPr>
        <w:t>4</w:t>
      </w:r>
      <w:r>
        <w:rPr>
          <w:rFonts w:eastAsia="MS Mincho"/>
          <w:b/>
          <w:u w:val="single"/>
          <w:lang w:eastAsia="ja-JP"/>
        </w:rPr>
        <w:t xml:space="preserve">: Coexistence performance shall be </w:t>
      </w:r>
      <w:r w:rsidR="00E170A4">
        <w:rPr>
          <w:rFonts w:eastAsia="MS Mincho"/>
          <w:b/>
          <w:u w:val="single"/>
          <w:lang w:eastAsia="ja-JP"/>
        </w:rPr>
        <w:t>evaluated</w:t>
      </w:r>
      <w:r>
        <w:rPr>
          <w:rFonts w:eastAsia="MS Mincho"/>
          <w:b/>
          <w:u w:val="single"/>
          <w:lang w:eastAsia="ja-JP"/>
        </w:rPr>
        <w:t xml:space="preserve"> between NR-U and Wi-Fi in the 5 GHz unlicensed band, and between NR-U</w:t>
      </w:r>
      <w:r w:rsidR="0030703E">
        <w:rPr>
          <w:rFonts w:eastAsia="MS Mincho"/>
          <w:b/>
          <w:u w:val="single"/>
          <w:lang w:eastAsia="ja-JP"/>
        </w:rPr>
        <w:t xml:space="preserve"> </w:t>
      </w:r>
      <w:r>
        <w:rPr>
          <w:rFonts w:eastAsia="MS Mincho"/>
          <w:b/>
          <w:u w:val="single"/>
          <w:lang w:eastAsia="ja-JP"/>
        </w:rPr>
        <w:t>and NR-U</w:t>
      </w:r>
      <w:r w:rsidR="0030703E">
        <w:rPr>
          <w:rFonts w:eastAsia="MS Mincho"/>
          <w:b/>
          <w:u w:val="single"/>
          <w:lang w:eastAsia="ja-JP"/>
        </w:rPr>
        <w:t xml:space="preserve"> </w:t>
      </w:r>
      <w:r>
        <w:rPr>
          <w:rFonts w:eastAsia="MS Mincho"/>
          <w:b/>
          <w:u w:val="single"/>
          <w:lang w:eastAsia="ja-JP"/>
        </w:rPr>
        <w:t>in the 5 GHz or 6 GHz unlicensed band.</w:t>
      </w:r>
    </w:p>
    <w:p w14:paraId="739CE2F1" w14:textId="77777777" w:rsidR="00D27A01" w:rsidRPr="00B854F0" w:rsidRDefault="00D27A01" w:rsidP="00956FDD">
      <w:pPr>
        <w:spacing w:before="120" w:after="120" w:line="288" w:lineRule="auto"/>
        <w:jc w:val="both"/>
        <w:rPr>
          <w:rFonts w:eastAsia="MS Mincho"/>
          <w:b/>
          <w:u w:val="single"/>
          <w:lang w:eastAsia="ja-JP"/>
        </w:rPr>
      </w:pPr>
    </w:p>
    <w:p w14:paraId="58854822" w14:textId="77777777" w:rsidR="00F57538" w:rsidRPr="006165AE" w:rsidRDefault="00F57538" w:rsidP="006165AE">
      <w:pPr>
        <w:pStyle w:val="Heading3"/>
        <w:numPr>
          <w:ilvl w:val="1"/>
          <w:numId w:val="10"/>
        </w:numPr>
      </w:pPr>
      <w:r w:rsidRPr="006165AE">
        <w:t>Performance Metrics for Evaluation</w:t>
      </w:r>
    </w:p>
    <w:p w14:paraId="3BCAFF06" w14:textId="025938B5" w:rsidR="00264676" w:rsidRPr="00701836" w:rsidRDefault="00F57538" w:rsidP="00956FDD">
      <w:pPr>
        <w:pStyle w:val="Default"/>
        <w:spacing w:line="288" w:lineRule="auto"/>
        <w:jc w:val="both"/>
        <w:rPr>
          <w:sz w:val="20"/>
          <w:szCs w:val="14"/>
        </w:rPr>
      </w:pPr>
      <w:r w:rsidRPr="004C1083">
        <w:rPr>
          <w:sz w:val="20"/>
          <w:szCs w:val="14"/>
        </w:rPr>
        <w:t xml:space="preserve">The performance metrics to </w:t>
      </w:r>
      <w:r w:rsidR="00206796">
        <w:rPr>
          <w:sz w:val="20"/>
          <w:szCs w:val="14"/>
        </w:rPr>
        <w:t>evaluate</w:t>
      </w:r>
      <w:r w:rsidRPr="004C1083">
        <w:rPr>
          <w:sz w:val="20"/>
          <w:szCs w:val="14"/>
        </w:rPr>
        <w:t xml:space="preserve"> </w:t>
      </w:r>
      <w:r w:rsidR="009A0C00">
        <w:rPr>
          <w:sz w:val="20"/>
          <w:szCs w:val="14"/>
        </w:rPr>
        <w:t xml:space="preserve">for both NR-U and the coexisting system </w:t>
      </w:r>
      <w:r w:rsidR="00206796">
        <w:rPr>
          <w:sz w:val="20"/>
          <w:szCs w:val="14"/>
        </w:rPr>
        <w:t xml:space="preserve">can </w:t>
      </w:r>
      <w:r w:rsidR="00AD3A61">
        <w:rPr>
          <w:sz w:val="20"/>
          <w:szCs w:val="14"/>
        </w:rPr>
        <w:t>be mostly re</w:t>
      </w:r>
      <w:r w:rsidRPr="004C1083">
        <w:rPr>
          <w:sz w:val="20"/>
          <w:szCs w:val="14"/>
        </w:rPr>
        <w:t>use</w:t>
      </w:r>
      <w:r w:rsidR="00AD3A61">
        <w:rPr>
          <w:sz w:val="20"/>
          <w:szCs w:val="14"/>
        </w:rPr>
        <w:t>d</w:t>
      </w:r>
      <w:r w:rsidRPr="004C1083">
        <w:rPr>
          <w:sz w:val="20"/>
          <w:szCs w:val="14"/>
        </w:rPr>
        <w:t xml:space="preserve"> from LAA</w:t>
      </w:r>
      <w:r w:rsidR="00AD3A61">
        <w:rPr>
          <w:sz w:val="20"/>
          <w:szCs w:val="14"/>
        </w:rPr>
        <w:t xml:space="preserve"> [</w:t>
      </w:r>
      <w:r w:rsidR="006165AE">
        <w:rPr>
          <w:sz w:val="20"/>
          <w:szCs w:val="14"/>
        </w:rPr>
        <w:t>3</w:t>
      </w:r>
      <w:bookmarkStart w:id="5" w:name="_GoBack"/>
      <w:bookmarkEnd w:id="5"/>
      <w:r w:rsidR="00AD3A61">
        <w:rPr>
          <w:sz w:val="20"/>
          <w:szCs w:val="14"/>
        </w:rPr>
        <w:t>]</w:t>
      </w:r>
      <w:r w:rsidRPr="004C1083">
        <w:rPr>
          <w:sz w:val="20"/>
          <w:szCs w:val="14"/>
        </w:rPr>
        <w:t xml:space="preserve">, including </w:t>
      </w:r>
      <w:r w:rsidR="00AD3A61">
        <w:rPr>
          <w:sz w:val="20"/>
          <w:szCs w:val="14"/>
        </w:rPr>
        <w:t xml:space="preserve">the </w:t>
      </w:r>
      <w:r w:rsidRPr="004C1083">
        <w:rPr>
          <w:sz w:val="20"/>
          <w:szCs w:val="14"/>
        </w:rPr>
        <w:t xml:space="preserve">user-perceived throughput; latency; </w:t>
      </w:r>
      <w:r w:rsidR="004F7486">
        <w:rPr>
          <w:sz w:val="20"/>
          <w:szCs w:val="14"/>
        </w:rPr>
        <w:t xml:space="preserve">average </w:t>
      </w:r>
      <w:r w:rsidRPr="004C1083">
        <w:rPr>
          <w:sz w:val="20"/>
          <w:szCs w:val="14"/>
        </w:rPr>
        <w:t>bu</w:t>
      </w:r>
      <w:r w:rsidR="004F7486">
        <w:rPr>
          <w:sz w:val="20"/>
          <w:szCs w:val="14"/>
        </w:rPr>
        <w:t xml:space="preserve">ffer occupancy; and </w:t>
      </w:r>
      <w:r w:rsidRPr="004C1083">
        <w:rPr>
          <w:sz w:val="20"/>
          <w:szCs w:val="14"/>
        </w:rPr>
        <w:t xml:space="preserve">ratio of mean served cell throughput </w:t>
      </w:r>
      <w:r w:rsidR="00381A18">
        <w:rPr>
          <w:sz w:val="20"/>
          <w:szCs w:val="14"/>
        </w:rPr>
        <w:t xml:space="preserve">and </w:t>
      </w:r>
      <w:r w:rsidRPr="004C1083">
        <w:rPr>
          <w:sz w:val="20"/>
          <w:szCs w:val="14"/>
        </w:rPr>
        <w:t xml:space="preserve">offered cell throughput (i.e., </w:t>
      </w:r>
      <w:r w:rsidR="004F7486">
        <w:rPr>
          <w:sz w:val="20"/>
          <w:szCs w:val="14"/>
        </w:rPr>
        <w:t>ρ</w:t>
      </w:r>
      <w:r w:rsidR="001D4792">
        <w:rPr>
          <w:sz w:val="20"/>
          <w:szCs w:val="14"/>
        </w:rPr>
        <w:t xml:space="preserve"> [</w:t>
      </w:r>
      <w:r w:rsidR="006165AE">
        <w:rPr>
          <w:sz w:val="20"/>
          <w:szCs w:val="14"/>
        </w:rPr>
        <w:t>3</w:t>
      </w:r>
      <w:r w:rsidR="001D4792">
        <w:rPr>
          <w:sz w:val="20"/>
          <w:szCs w:val="14"/>
        </w:rPr>
        <w:t>]</w:t>
      </w:r>
      <w:r w:rsidRPr="004C1083">
        <w:rPr>
          <w:sz w:val="20"/>
          <w:szCs w:val="14"/>
        </w:rPr>
        <w:t xml:space="preserve">). </w:t>
      </w:r>
      <w:r w:rsidR="00F87D0B">
        <w:rPr>
          <w:sz w:val="20"/>
          <w:szCs w:val="14"/>
        </w:rPr>
        <w:t>A</w:t>
      </w:r>
      <w:r w:rsidR="00FE6AE3">
        <w:rPr>
          <w:sz w:val="20"/>
          <w:szCs w:val="14"/>
        </w:rPr>
        <w:t>nother</w:t>
      </w:r>
      <w:r w:rsidR="004B6269">
        <w:rPr>
          <w:sz w:val="20"/>
          <w:szCs w:val="14"/>
        </w:rPr>
        <w:t xml:space="preserve"> </w:t>
      </w:r>
      <w:r w:rsidRPr="004C1083">
        <w:rPr>
          <w:sz w:val="20"/>
          <w:szCs w:val="14"/>
        </w:rPr>
        <w:t xml:space="preserve">metric </w:t>
      </w:r>
      <w:r w:rsidR="00F87D0B">
        <w:rPr>
          <w:sz w:val="20"/>
          <w:szCs w:val="14"/>
        </w:rPr>
        <w:t>is the channel access probability, which</w:t>
      </w:r>
      <w:r w:rsidR="00E258E0">
        <w:rPr>
          <w:sz w:val="20"/>
          <w:szCs w:val="14"/>
        </w:rPr>
        <w:t xml:space="preserve"> is useful to</w:t>
      </w:r>
      <w:r w:rsidR="00F87D0B">
        <w:rPr>
          <w:sz w:val="20"/>
          <w:szCs w:val="14"/>
        </w:rPr>
        <w:t xml:space="preserve"> evaluate the aggressiveness </w:t>
      </w:r>
      <w:r w:rsidR="00E258E0">
        <w:rPr>
          <w:sz w:val="20"/>
          <w:szCs w:val="14"/>
        </w:rPr>
        <w:t>and fairness for</w:t>
      </w:r>
      <w:r w:rsidR="00F87D0B">
        <w:rPr>
          <w:sz w:val="20"/>
          <w:szCs w:val="14"/>
        </w:rPr>
        <w:t xml:space="preserve"> NR-U and the coexisting system </w:t>
      </w:r>
      <w:r w:rsidR="00E258E0">
        <w:rPr>
          <w:sz w:val="20"/>
          <w:szCs w:val="14"/>
        </w:rPr>
        <w:t>to access the channel under various</w:t>
      </w:r>
      <w:r w:rsidR="00AB72B8">
        <w:rPr>
          <w:sz w:val="20"/>
          <w:szCs w:val="14"/>
        </w:rPr>
        <w:t xml:space="preserve"> NR-U</w:t>
      </w:r>
      <w:r w:rsidR="00E258E0">
        <w:rPr>
          <w:sz w:val="20"/>
          <w:szCs w:val="14"/>
        </w:rPr>
        <w:t xml:space="preserve"> channel access/LBT schemes</w:t>
      </w:r>
      <w:r w:rsidR="00F87D0B">
        <w:rPr>
          <w:sz w:val="20"/>
          <w:szCs w:val="14"/>
        </w:rPr>
        <w:t>.</w:t>
      </w:r>
      <w:r w:rsidR="007549EA">
        <w:rPr>
          <w:sz w:val="20"/>
          <w:szCs w:val="14"/>
        </w:rPr>
        <w:t xml:space="preserve"> </w:t>
      </w:r>
      <w:r w:rsidR="00EF6DFF">
        <w:rPr>
          <w:sz w:val="20"/>
          <w:szCs w:val="14"/>
        </w:rPr>
        <w:t>The channel access probability can be defined as the resource utilization (</w:t>
      </w:r>
      <w:r w:rsidR="00E56C55">
        <w:rPr>
          <w:sz w:val="20"/>
          <w:szCs w:val="14"/>
        </w:rPr>
        <w:t>e.g., PRB utilization</w:t>
      </w:r>
      <w:r w:rsidR="00EF6DFF">
        <w:rPr>
          <w:sz w:val="20"/>
          <w:szCs w:val="14"/>
        </w:rPr>
        <w:t xml:space="preserve">), </w:t>
      </w:r>
      <w:r w:rsidRPr="004C1083">
        <w:rPr>
          <w:sz w:val="20"/>
          <w:szCs w:val="14"/>
        </w:rPr>
        <w:t xml:space="preserve">or </w:t>
      </w:r>
      <w:r w:rsidR="006D19CD">
        <w:rPr>
          <w:sz w:val="20"/>
          <w:szCs w:val="14"/>
        </w:rPr>
        <w:t xml:space="preserve">the </w:t>
      </w:r>
      <w:r w:rsidRPr="004C1083">
        <w:rPr>
          <w:sz w:val="20"/>
          <w:szCs w:val="14"/>
        </w:rPr>
        <w:t xml:space="preserve">ratio of mean duration that the transmitter has channel access over </w:t>
      </w:r>
      <w:r w:rsidR="003E7F92">
        <w:rPr>
          <w:sz w:val="20"/>
          <w:szCs w:val="14"/>
        </w:rPr>
        <w:t xml:space="preserve">the </w:t>
      </w:r>
      <w:r w:rsidRPr="004C1083">
        <w:rPr>
          <w:sz w:val="20"/>
          <w:szCs w:val="14"/>
        </w:rPr>
        <w:t>mean duration that the transmitter needs channel access (</w:t>
      </w:r>
      <w:r w:rsidR="003E7F92">
        <w:rPr>
          <w:sz w:val="20"/>
          <w:szCs w:val="14"/>
        </w:rPr>
        <w:t xml:space="preserve">e.g., </w:t>
      </w:r>
      <w:r w:rsidRPr="004C1083">
        <w:rPr>
          <w:sz w:val="20"/>
          <w:szCs w:val="14"/>
        </w:rPr>
        <w:t xml:space="preserve">sum of </w:t>
      </w:r>
      <w:r w:rsidR="007D6435">
        <w:rPr>
          <w:sz w:val="20"/>
          <w:szCs w:val="14"/>
        </w:rPr>
        <w:t xml:space="preserve">the </w:t>
      </w:r>
      <w:r w:rsidR="00F126D0">
        <w:rPr>
          <w:sz w:val="20"/>
          <w:szCs w:val="14"/>
        </w:rPr>
        <w:t>duration</w:t>
      </w:r>
      <w:r w:rsidRPr="004C1083">
        <w:rPr>
          <w:sz w:val="20"/>
          <w:szCs w:val="14"/>
        </w:rPr>
        <w:t xml:space="preserve"> that it contends for channel access and</w:t>
      </w:r>
      <w:r w:rsidR="007D6435">
        <w:rPr>
          <w:sz w:val="20"/>
          <w:szCs w:val="14"/>
        </w:rPr>
        <w:t xml:space="preserve"> the</w:t>
      </w:r>
      <w:r w:rsidRPr="004C1083">
        <w:rPr>
          <w:sz w:val="20"/>
          <w:szCs w:val="14"/>
        </w:rPr>
        <w:t xml:space="preserve"> </w:t>
      </w:r>
      <w:r w:rsidR="000946A6">
        <w:rPr>
          <w:sz w:val="20"/>
          <w:szCs w:val="14"/>
        </w:rPr>
        <w:t>duration</w:t>
      </w:r>
      <w:r w:rsidRPr="004C1083">
        <w:rPr>
          <w:sz w:val="20"/>
          <w:szCs w:val="14"/>
        </w:rPr>
        <w:t xml:space="preserve"> </w:t>
      </w:r>
      <w:r w:rsidR="00E20059">
        <w:rPr>
          <w:sz w:val="20"/>
          <w:szCs w:val="14"/>
        </w:rPr>
        <w:t xml:space="preserve">that </w:t>
      </w:r>
      <w:r w:rsidRPr="004C1083">
        <w:rPr>
          <w:sz w:val="20"/>
          <w:szCs w:val="14"/>
        </w:rPr>
        <w:t>it has channel access).</w:t>
      </w:r>
    </w:p>
    <w:p w14:paraId="75A64A4A" w14:textId="3F9322FF" w:rsidR="00FF66E2" w:rsidRDefault="00264676" w:rsidP="00956FDD">
      <w:pPr>
        <w:spacing w:before="120" w:after="120" w:line="288" w:lineRule="auto"/>
        <w:jc w:val="both"/>
        <w:rPr>
          <w:rFonts w:eastAsia="MS Mincho"/>
          <w:b/>
          <w:u w:val="single"/>
          <w:lang w:eastAsia="ja-JP"/>
        </w:rPr>
      </w:pPr>
      <w:r>
        <w:rPr>
          <w:rFonts w:eastAsia="MS Mincho"/>
          <w:b/>
          <w:u w:val="single"/>
          <w:lang w:eastAsia="ja-JP"/>
        </w:rPr>
        <w:lastRenderedPageBreak/>
        <w:t xml:space="preserve">Proposal </w:t>
      </w:r>
      <w:r w:rsidR="00E35D59">
        <w:rPr>
          <w:rFonts w:eastAsia="MS Mincho"/>
          <w:b/>
          <w:u w:val="single"/>
          <w:lang w:eastAsia="ja-JP"/>
        </w:rPr>
        <w:t>5</w:t>
      </w:r>
      <w:r>
        <w:rPr>
          <w:rFonts w:eastAsia="MS Mincho"/>
          <w:b/>
          <w:u w:val="single"/>
          <w:lang w:eastAsia="ja-JP"/>
        </w:rPr>
        <w:t xml:space="preserve">: </w:t>
      </w:r>
      <w:r w:rsidR="00AD3A61">
        <w:rPr>
          <w:rFonts w:eastAsia="MS Mincho"/>
          <w:b/>
          <w:u w:val="single"/>
          <w:lang w:eastAsia="ja-JP"/>
        </w:rPr>
        <w:t xml:space="preserve">Performance metrics to evaluate include the user-perceived throughput, latency, buffer occupancy, </w:t>
      </w:r>
      <w:r w:rsidR="001062FC" w:rsidRPr="001062FC">
        <w:rPr>
          <w:rFonts w:eastAsia="MS Mincho"/>
          <w:b/>
          <w:u w:val="single"/>
          <w:lang w:eastAsia="ja-JP"/>
        </w:rPr>
        <w:t>ratio of mean served cell throughput</w:t>
      </w:r>
      <w:r w:rsidR="001062FC">
        <w:rPr>
          <w:rFonts w:eastAsia="MS Mincho"/>
          <w:b/>
          <w:u w:val="single"/>
          <w:lang w:eastAsia="ja-JP"/>
        </w:rPr>
        <w:t xml:space="preserve"> and</w:t>
      </w:r>
      <w:r w:rsidR="001062FC" w:rsidRPr="001062FC">
        <w:rPr>
          <w:rFonts w:eastAsia="MS Mincho"/>
          <w:b/>
          <w:u w:val="single"/>
          <w:lang w:eastAsia="ja-JP"/>
        </w:rPr>
        <w:t xml:space="preserve"> offered cell throughput</w:t>
      </w:r>
      <w:r w:rsidR="001062FC">
        <w:rPr>
          <w:rFonts w:eastAsia="MS Mincho"/>
          <w:b/>
          <w:u w:val="single"/>
          <w:lang w:eastAsia="ja-JP"/>
        </w:rPr>
        <w:t xml:space="preserve">, </w:t>
      </w:r>
      <w:r w:rsidR="00FE6AE3">
        <w:rPr>
          <w:rFonts w:eastAsia="MS Mincho"/>
          <w:b/>
          <w:u w:val="single"/>
          <w:lang w:eastAsia="ja-JP"/>
        </w:rPr>
        <w:t>and channel access probability</w:t>
      </w:r>
      <w:r>
        <w:rPr>
          <w:rFonts w:eastAsia="MS Mincho"/>
          <w:b/>
          <w:u w:val="single"/>
          <w:lang w:eastAsia="ja-JP"/>
        </w:rPr>
        <w:t>.</w:t>
      </w:r>
    </w:p>
    <w:p w14:paraId="0AB25A5F" w14:textId="77777777" w:rsidR="00D27A01" w:rsidRPr="005E2502" w:rsidRDefault="00D27A01" w:rsidP="00956FDD">
      <w:pPr>
        <w:spacing w:before="120" w:after="120" w:line="288" w:lineRule="auto"/>
        <w:jc w:val="both"/>
        <w:rPr>
          <w:rFonts w:eastAsia="MS Mincho"/>
          <w:b/>
          <w:u w:val="single"/>
          <w:lang w:eastAsia="ja-JP"/>
        </w:rPr>
      </w:pPr>
    </w:p>
    <w:p w14:paraId="077CF32B" w14:textId="77777777" w:rsidR="00F57538" w:rsidRPr="006165AE" w:rsidRDefault="00F57538" w:rsidP="006165AE">
      <w:pPr>
        <w:pStyle w:val="Heading1"/>
        <w:numPr>
          <w:ilvl w:val="0"/>
          <w:numId w:val="11"/>
        </w:numPr>
        <w:pBdr>
          <w:top w:val="single" w:sz="12" w:space="3" w:color="auto"/>
        </w:pBdr>
        <w:tabs>
          <w:tab w:val="clear" w:pos="3222"/>
          <w:tab w:val="num" w:pos="432"/>
        </w:tabs>
        <w:ind w:left="432"/>
        <w:jc w:val="both"/>
        <w:rPr>
          <w:rFonts w:eastAsia="바탕"/>
          <w:sz w:val="32"/>
          <w:szCs w:val="32"/>
          <w:lang w:eastAsia="ko-KR"/>
        </w:rPr>
      </w:pPr>
      <w:r w:rsidRPr="006165AE">
        <w:rPr>
          <w:rFonts w:eastAsia="바탕"/>
          <w:sz w:val="32"/>
          <w:szCs w:val="32"/>
          <w:lang w:eastAsia="ko-KR"/>
        </w:rPr>
        <w:t>Conclusions</w:t>
      </w:r>
    </w:p>
    <w:p w14:paraId="5F897CE1" w14:textId="77777777" w:rsidR="002A7B00" w:rsidRDefault="00C071F5" w:rsidP="00956FDD">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C090B">
        <w:rPr>
          <w:rFonts w:eastAsia="MS Mincho"/>
          <w:lang w:eastAsia="ja-JP"/>
        </w:rPr>
        <w:t>simulation methodology 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propose</w:t>
      </w:r>
      <w:r w:rsidR="00F34D89">
        <w:rPr>
          <w:rFonts w:eastAsia="MS Mincho"/>
          <w:lang w:eastAsia="ja-JP"/>
        </w:rPr>
        <w:t>d</w:t>
      </w:r>
      <w:r>
        <w:rPr>
          <w:rFonts w:eastAsia="MS Mincho"/>
          <w:lang w:eastAsia="ja-JP"/>
        </w:rPr>
        <w:t xml:space="preserve"> </w:t>
      </w:r>
      <w:r w:rsidR="000D2B4B" w:rsidRPr="000D2B4B">
        <w:rPr>
          <w:rFonts w:eastAsia="MS Mincho"/>
          <w:lang w:eastAsia="ja-JP"/>
        </w:rPr>
        <w:t>the following</w:t>
      </w:r>
      <w:r>
        <w:rPr>
          <w:rFonts w:eastAsia="MS Mincho"/>
          <w:lang w:eastAsia="ja-JP"/>
        </w:rPr>
        <w:t>.</w:t>
      </w:r>
    </w:p>
    <w:p w14:paraId="3888AFC9" w14:textId="50103237" w:rsidR="00B446C1" w:rsidRPr="00E23024" w:rsidRDefault="00B446C1" w:rsidP="00956FDD">
      <w:pPr>
        <w:spacing w:before="120" w:after="120" w:line="288" w:lineRule="auto"/>
        <w:jc w:val="both"/>
        <w:rPr>
          <w:rFonts w:eastAsia="MS Mincho"/>
          <w:b/>
          <w:u w:val="single"/>
          <w:lang w:eastAsia="ja-JP"/>
        </w:rPr>
      </w:pPr>
      <w:r>
        <w:rPr>
          <w:rFonts w:eastAsia="MS Mincho"/>
          <w:b/>
          <w:u w:val="single"/>
          <w:lang w:eastAsia="ja-JP"/>
        </w:rPr>
        <w:t xml:space="preserve">Proposal 1: NR-U evaluation </w:t>
      </w:r>
      <w:r w:rsidR="00C947F6">
        <w:rPr>
          <w:rFonts w:eastAsia="MS Mincho"/>
          <w:b/>
          <w:u w:val="single"/>
          <w:lang w:eastAsia="ja-JP"/>
        </w:rPr>
        <w:t xml:space="preserve">can </w:t>
      </w:r>
      <w:r>
        <w:rPr>
          <w:rFonts w:eastAsia="MS Mincho"/>
          <w:b/>
          <w:u w:val="single"/>
          <w:lang w:eastAsia="ja-JP"/>
        </w:rPr>
        <w:t xml:space="preserve">prioritize </w:t>
      </w:r>
      <w:r w:rsidRPr="009A2A46">
        <w:rPr>
          <w:rFonts w:eastAsia="MS Mincho"/>
          <w:b/>
          <w:u w:val="single"/>
          <w:lang w:eastAsia="ja-JP"/>
        </w:rPr>
        <w:t>the</w:t>
      </w:r>
      <w:r>
        <w:rPr>
          <w:rFonts w:eastAsia="MS Mincho"/>
          <w:b/>
          <w:u w:val="single"/>
          <w:lang w:eastAsia="ja-JP"/>
        </w:rPr>
        <w:t xml:space="preserve"> indoor scenario </w:t>
      </w:r>
      <w:r w:rsidRPr="009A2A46">
        <w:rPr>
          <w:rFonts w:eastAsia="MS Mincho"/>
          <w:b/>
          <w:u w:val="single"/>
          <w:lang w:eastAsia="ja-JP"/>
        </w:rPr>
        <w:t>in the study item phase</w:t>
      </w:r>
      <w:r>
        <w:rPr>
          <w:rFonts w:eastAsia="MS Mincho"/>
          <w:b/>
          <w:u w:val="single"/>
          <w:lang w:eastAsia="ja-JP"/>
        </w:rPr>
        <w:t>.</w:t>
      </w:r>
    </w:p>
    <w:p w14:paraId="6ECC8902" w14:textId="77777777" w:rsidR="00B446C1" w:rsidRDefault="00B446C1" w:rsidP="00956FDD">
      <w:pPr>
        <w:spacing w:before="120" w:after="120" w:line="288" w:lineRule="auto"/>
        <w:jc w:val="both"/>
        <w:rPr>
          <w:rFonts w:eastAsia="MS Mincho"/>
          <w:b/>
          <w:u w:val="single"/>
          <w:lang w:eastAsia="ja-JP"/>
        </w:rPr>
      </w:pPr>
      <w:r>
        <w:rPr>
          <w:rFonts w:eastAsia="MS Mincho"/>
          <w:b/>
          <w:u w:val="single"/>
          <w:lang w:eastAsia="ja-JP"/>
        </w:rPr>
        <w:t>Proposal 2: NR-U evaluation parameters can be partly reused from LAA evaluation scenarios, with the exceptions including carrier frequency, subcarrier spacing, system bandwidth, antenna array configurations, and layout for nodes.</w:t>
      </w:r>
    </w:p>
    <w:p w14:paraId="37B10D82" w14:textId="77777777" w:rsidR="00B446C1" w:rsidRPr="00C72AE3" w:rsidRDefault="00B446C1" w:rsidP="00956FDD">
      <w:pPr>
        <w:spacing w:before="120" w:after="120" w:line="288" w:lineRule="auto"/>
        <w:jc w:val="both"/>
        <w:rPr>
          <w:rFonts w:eastAsia="MS Mincho"/>
          <w:b/>
          <w:u w:val="single"/>
          <w:lang w:eastAsia="ja-JP"/>
        </w:rPr>
      </w:pPr>
      <w:r>
        <w:rPr>
          <w:rFonts w:eastAsia="MS Mincho"/>
          <w:b/>
          <w:u w:val="single"/>
          <w:lang w:eastAsia="ja-JP"/>
        </w:rPr>
        <w:t>Proposal 3: NR-U can evaluate the coexistence performance of both omni-directional LBT and directional LBT based channel access mechanisms</w:t>
      </w:r>
      <w:r w:rsidR="00913363">
        <w:rPr>
          <w:rFonts w:eastAsia="MS Mincho"/>
          <w:b/>
          <w:u w:val="single"/>
          <w:lang w:eastAsia="ja-JP"/>
        </w:rPr>
        <w:t xml:space="preserve"> in sub-7 GHz unlicensed bands</w:t>
      </w:r>
      <w:r>
        <w:rPr>
          <w:rFonts w:eastAsia="MS Mincho"/>
          <w:b/>
          <w:u w:val="single"/>
          <w:lang w:eastAsia="ja-JP"/>
        </w:rPr>
        <w:t xml:space="preserve">. </w:t>
      </w:r>
    </w:p>
    <w:p w14:paraId="1E6010C4" w14:textId="77777777" w:rsidR="007A4313" w:rsidRDefault="007A4313" w:rsidP="00956FDD">
      <w:pPr>
        <w:spacing w:before="120" w:after="240" w:line="288" w:lineRule="auto"/>
        <w:jc w:val="both"/>
        <w:rPr>
          <w:rFonts w:eastAsia="MS Mincho"/>
          <w:b/>
          <w:u w:val="single"/>
          <w:lang w:eastAsia="ja-JP"/>
        </w:rPr>
      </w:pPr>
      <w:r>
        <w:rPr>
          <w:rFonts w:eastAsia="MS Mincho"/>
          <w:b/>
          <w:u w:val="single"/>
          <w:lang w:eastAsia="ja-JP"/>
        </w:rPr>
        <w:t>Proposal 4: Coexistence performance shall be evaluated between NR-U and Wi-Fi in the 5 GHz unlicensed band, and between NR-U and NR-U in the 5 GHz or 6 GHz unlicensed band.</w:t>
      </w:r>
    </w:p>
    <w:p w14:paraId="666FEF31" w14:textId="09A9BD4E" w:rsidR="007A4313" w:rsidRDefault="007A4313" w:rsidP="00956FDD">
      <w:pPr>
        <w:spacing w:line="288" w:lineRule="auto"/>
        <w:jc w:val="both"/>
        <w:rPr>
          <w:rFonts w:eastAsia="MS Mincho"/>
          <w:b/>
          <w:u w:val="single"/>
          <w:lang w:eastAsia="ja-JP"/>
        </w:rPr>
      </w:pPr>
      <w:r>
        <w:rPr>
          <w:rFonts w:eastAsia="MS Mincho"/>
          <w:b/>
          <w:u w:val="single"/>
          <w:lang w:eastAsia="ja-JP"/>
        </w:rPr>
        <w:t xml:space="preserve">Proposal 5: Performance metrics to evaluate include the user-perceived throughput, latency, buffer occupancy, </w:t>
      </w:r>
      <w:r w:rsidRPr="001062FC">
        <w:rPr>
          <w:rFonts w:eastAsia="MS Mincho"/>
          <w:b/>
          <w:u w:val="single"/>
          <w:lang w:eastAsia="ja-JP"/>
        </w:rPr>
        <w:t>ratio of mean served cell throughput</w:t>
      </w:r>
      <w:r>
        <w:rPr>
          <w:rFonts w:eastAsia="MS Mincho"/>
          <w:b/>
          <w:u w:val="single"/>
          <w:lang w:eastAsia="ja-JP"/>
        </w:rPr>
        <w:t xml:space="preserve"> and</w:t>
      </w:r>
      <w:r w:rsidRPr="001062FC">
        <w:rPr>
          <w:rFonts w:eastAsia="MS Mincho"/>
          <w:b/>
          <w:u w:val="single"/>
          <w:lang w:eastAsia="ja-JP"/>
        </w:rPr>
        <w:t xml:space="preserve"> offered cell throughput</w:t>
      </w:r>
      <w:r>
        <w:rPr>
          <w:rFonts w:eastAsia="MS Mincho"/>
          <w:b/>
          <w:u w:val="single"/>
          <w:lang w:eastAsia="ja-JP"/>
        </w:rPr>
        <w:t>, and channel access probability.</w:t>
      </w:r>
    </w:p>
    <w:p w14:paraId="4FD00F5C" w14:textId="77777777" w:rsidR="00D27A01" w:rsidRPr="00B854F0" w:rsidRDefault="00D27A01" w:rsidP="00956FDD">
      <w:pPr>
        <w:spacing w:line="288" w:lineRule="auto"/>
        <w:jc w:val="both"/>
        <w:rPr>
          <w:rFonts w:eastAsia="MS Mincho"/>
          <w:b/>
          <w:u w:val="single"/>
          <w:lang w:eastAsia="ja-JP"/>
        </w:rPr>
      </w:pPr>
    </w:p>
    <w:p w14:paraId="6F380948" w14:textId="77777777" w:rsidR="001F091D" w:rsidRPr="008B1C14" w:rsidRDefault="007253F7" w:rsidP="00956FDD">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53C9113B" w14:textId="77777777" w:rsidR="007D5D48" w:rsidRDefault="007D5D48" w:rsidP="00956FDD">
      <w:pPr>
        <w:spacing w:line="288"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92, Athens</w:t>
      </w:r>
      <w:r w:rsidRPr="00C31712">
        <w:rPr>
          <w:rFonts w:eastAsia="MS Mincho"/>
          <w:lang w:eastAsia="ja-JP"/>
        </w:rPr>
        <w:t xml:space="preserve">, </w:t>
      </w:r>
      <w:r>
        <w:rPr>
          <w:rFonts w:eastAsia="MS Mincho"/>
          <w:lang w:eastAsia="ja-JP"/>
        </w:rPr>
        <w:t>Greece</w:t>
      </w:r>
      <w:r w:rsidRPr="00C31712">
        <w:rPr>
          <w:rFonts w:eastAsia="MS Mincho"/>
          <w:lang w:eastAsia="ja-JP"/>
        </w:rPr>
        <w:t xml:space="preserve">, </w:t>
      </w:r>
      <w:r>
        <w:rPr>
          <w:rFonts w:eastAsia="MS Mincho"/>
          <w:lang w:eastAsia="ja-JP"/>
        </w:rPr>
        <w:t>February</w:t>
      </w:r>
      <w:r w:rsidRPr="00C31712">
        <w:rPr>
          <w:rFonts w:eastAsia="MS Mincho"/>
          <w:lang w:eastAsia="ja-JP"/>
        </w:rPr>
        <w:t xml:space="preserve"> 2</w:t>
      </w:r>
      <w:r>
        <w:rPr>
          <w:rFonts w:eastAsia="MS Mincho"/>
          <w:lang w:eastAsia="ja-JP"/>
        </w:rPr>
        <w:t>6th</w:t>
      </w:r>
      <w:r w:rsidRPr="00C31712">
        <w:rPr>
          <w:rFonts w:eastAsia="MS Mincho"/>
          <w:lang w:eastAsia="ja-JP"/>
        </w:rPr>
        <w:t xml:space="preserve"> – </w:t>
      </w:r>
      <w:r>
        <w:rPr>
          <w:rFonts w:eastAsia="MS Mincho"/>
          <w:lang w:eastAsia="ja-JP"/>
        </w:rPr>
        <w:t>March 2nd</w:t>
      </w:r>
      <w:r w:rsidRPr="00C31712">
        <w:rPr>
          <w:rFonts w:eastAsia="MS Mincho"/>
          <w:lang w:eastAsia="ja-JP"/>
        </w:rPr>
        <w:t>, 2018</w:t>
      </w:r>
      <w:r>
        <w:rPr>
          <w:rFonts w:eastAsia="MS Mincho"/>
          <w:lang w:eastAsia="ja-JP"/>
        </w:rPr>
        <w:t>.</w:t>
      </w:r>
    </w:p>
    <w:p w14:paraId="63A6EADC" w14:textId="77777777" w:rsidR="008B1C14" w:rsidRDefault="008B1C14" w:rsidP="00956FDD">
      <w:pPr>
        <w:pStyle w:val="BodyText"/>
        <w:overflowPunct w:val="0"/>
        <w:spacing w:line="288" w:lineRule="auto"/>
        <w:jc w:val="both"/>
        <w:textAlignment w:val="baseline"/>
        <w:rPr>
          <w:lang w:eastAsia="ko-KR"/>
        </w:rPr>
      </w:pPr>
      <w:r>
        <w:rPr>
          <w:lang w:eastAsia="ko-KR"/>
        </w:rPr>
        <w:t>[</w:t>
      </w:r>
      <w:r w:rsidR="0090423E">
        <w:rPr>
          <w:lang w:eastAsia="ko-KR"/>
        </w:rPr>
        <w:t>2</w:t>
      </w:r>
      <w:r>
        <w:rPr>
          <w:lang w:eastAsia="ko-KR"/>
        </w:rPr>
        <w:t>] RP-172021, “</w:t>
      </w:r>
      <w:r w:rsidRPr="005052A5">
        <w:rPr>
          <w:lang w:eastAsia="ko-KR"/>
        </w:rPr>
        <w:t>Revised SID on NR-based Access to Unlicensed Spectrum</w:t>
      </w:r>
      <w:r>
        <w:rPr>
          <w:lang w:eastAsia="ko-KR"/>
        </w:rPr>
        <w:t xml:space="preserve">”, </w:t>
      </w:r>
      <w:r w:rsidRPr="005052A5">
        <w:rPr>
          <w:lang w:eastAsia="ko-KR"/>
        </w:rPr>
        <w:t>Qualcomm</w:t>
      </w:r>
      <w:r>
        <w:rPr>
          <w:lang w:eastAsia="ko-KR"/>
        </w:rPr>
        <w:t>, RAN#77</w:t>
      </w:r>
    </w:p>
    <w:p w14:paraId="58623D77" w14:textId="7DAD2FF2" w:rsidR="002B2C55" w:rsidRPr="002B2C55" w:rsidRDefault="00206796" w:rsidP="00956FDD">
      <w:pPr>
        <w:pStyle w:val="BodyText"/>
        <w:overflowPunct w:val="0"/>
        <w:spacing w:line="288" w:lineRule="auto"/>
        <w:jc w:val="both"/>
        <w:textAlignment w:val="baseline"/>
        <w:rPr>
          <w:lang w:eastAsia="ko-KR"/>
        </w:rPr>
      </w:pPr>
      <w:r>
        <w:rPr>
          <w:lang w:eastAsia="ko-KR"/>
        </w:rPr>
        <w:t>[</w:t>
      </w:r>
      <w:r w:rsidR="006165AE">
        <w:rPr>
          <w:lang w:eastAsia="ko-KR"/>
        </w:rPr>
        <w:t>3</w:t>
      </w:r>
      <w:r>
        <w:rPr>
          <w:lang w:eastAsia="ko-KR"/>
        </w:rPr>
        <w:t>] 3GPP TR 36.889, “Study on Licensed-Assisted Access to Unlicensed Spectrum”</w:t>
      </w:r>
      <w:r w:rsidR="009C55BF">
        <w:rPr>
          <w:lang w:eastAsia="ko-KR"/>
        </w:rPr>
        <w:t>,</w:t>
      </w:r>
      <w:r w:rsidR="00190524">
        <w:rPr>
          <w:lang w:eastAsia="ko-KR"/>
        </w:rPr>
        <w:t xml:space="preserve"> </w:t>
      </w:r>
      <w:r>
        <w:rPr>
          <w:lang w:eastAsia="ko-KR"/>
        </w:rPr>
        <w:t>2015</w:t>
      </w:r>
    </w:p>
    <w:sectPr w:rsidR="002B2C55" w:rsidRPr="002B2C55" w:rsidSect="00C3193E">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F1E3E" w14:textId="77777777" w:rsidR="00583551" w:rsidRPr="00C47AD2" w:rsidRDefault="00583551" w:rsidP="00736F7B">
      <w:pPr>
        <w:rPr>
          <w:rFonts w:ascii="Arial" w:hAnsi="Arial"/>
          <w:sz w:val="12"/>
        </w:rPr>
      </w:pPr>
      <w:r>
        <w:separator/>
      </w:r>
    </w:p>
  </w:endnote>
  <w:endnote w:type="continuationSeparator" w:id="0">
    <w:p w14:paraId="3722FACB" w14:textId="77777777" w:rsidR="00583551" w:rsidRPr="00C47AD2" w:rsidRDefault="0058355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27D8F" w14:textId="77777777" w:rsidR="00CA21F5" w:rsidRDefault="00CA21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7A853" w14:textId="77777777" w:rsidR="00CA21F5" w:rsidRDefault="00CA21F5"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4BFD4" w14:textId="11B388AF" w:rsidR="00CA21F5" w:rsidRDefault="00CA21F5">
    <w:pPr>
      <w:pStyle w:val="Footer"/>
    </w:pPr>
    <w:r>
      <w:fldChar w:fldCharType="begin"/>
    </w:r>
    <w:r>
      <w:instrText xml:space="preserve"> PAGE   \* MERGEFORMAT </w:instrText>
    </w:r>
    <w:r>
      <w:fldChar w:fldCharType="separate"/>
    </w:r>
    <w:r w:rsidR="006165AE">
      <w:t>1</w:t>
    </w:r>
    <w:r>
      <w:fldChar w:fldCharType="end"/>
    </w:r>
  </w:p>
  <w:p w14:paraId="270018A2" w14:textId="77777777" w:rsidR="00CA21F5" w:rsidRDefault="00CA21F5"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D5691" w14:textId="77777777" w:rsidR="00583551" w:rsidRPr="00C47AD2" w:rsidRDefault="00583551" w:rsidP="00736F7B">
      <w:pPr>
        <w:rPr>
          <w:rFonts w:ascii="Arial" w:hAnsi="Arial"/>
          <w:sz w:val="12"/>
        </w:rPr>
      </w:pPr>
      <w:r>
        <w:separator/>
      </w:r>
    </w:p>
  </w:footnote>
  <w:footnote w:type="continuationSeparator" w:id="0">
    <w:p w14:paraId="6D7209F6" w14:textId="77777777" w:rsidR="00583551" w:rsidRPr="00C47AD2" w:rsidRDefault="0058355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45pt;height:11.45pt" o:bullet="t">
        <v:imagedata r:id="rId1" o:title="artE1F5"/>
      </v:shape>
    </w:pict>
  </w:numPicBullet>
  <w:numPicBullet w:numPicBulletId="1">
    <w:pict>
      <v:shape id="_x0000_i1076" type="#_x0000_t75" style="width:11.45pt;height:11.4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1"/>
  </w:num>
  <w:num w:numId="6">
    <w:abstractNumId w:val="21"/>
  </w:num>
  <w:num w:numId="7">
    <w:abstractNumId w:val="13"/>
  </w:num>
  <w:num w:numId="8">
    <w:abstractNumId w:val="10"/>
  </w:num>
  <w:num w:numId="9">
    <w:abstractNumId w:val="19"/>
  </w:num>
  <w:num w:numId="10">
    <w:abstractNumId w:val="2"/>
  </w:num>
  <w:num w:numId="11">
    <w:abstractNumId w:val="3"/>
  </w:num>
  <w:num w:numId="12">
    <w:abstractNumId w:val="20"/>
  </w:num>
  <w:num w:numId="13">
    <w:abstractNumId w:val="15"/>
  </w:num>
  <w:num w:numId="14">
    <w:abstractNumId w:val="14"/>
  </w:num>
  <w:num w:numId="15">
    <w:abstractNumId w:val="1"/>
  </w:num>
  <w:num w:numId="16">
    <w:abstractNumId w:val="5"/>
  </w:num>
  <w:num w:numId="17">
    <w:abstractNumId w:val="12"/>
  </w:num>
  <w:num w:numId="18">
    <w:abstractNumId w:val="18"/>
  </w:num>
  <w:num w:numId="19">
    <w:abstractNumId w:val="16"/>
  </w:num>
  <w:num w:numId="20">
    <w:abstractNumId w:val="4"/>
  </w:num>
  <w:num w:numId="21">
    <w:abstractNumId w:val="9"/>
  </w:num>
  <w:num w:numId="22">
    <w:abstractNumId w:val="22"/>
  </w:num>
  <w:num w:numId="23">
    <w:abstractNumId w:val="3"/>
  </w:num>
  <w:num w:numId="24">
    <w:abstractNumId w:val="6"/>
  </w:num>
  <w:num w:numId="25">
    <w:abstractNumId w:val="2"/>
  </w:num>
  <w:num w:numId="26">
    <w:abstractNumId w:val="2"/>
  </w:num>
  <w:num w:numId="27">
    <w:abstractNumId w:val="2"/>
  </w:num>
  <w:num w:numId="28">
    <w:abstractNumId w:val="2"/>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3"/>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9A7"/>
    <w:rsid w:val="00006C3A"/>
    <w:rsid w:val="00006E56"/>
    <w:rsid w:val="00006EFE"/>
    <w:rsid w:val="00007030"/>
    <w:rsid w:val="00007407"/>
    <w:rsid w:val="00007896"/>
    <w:rsid w:val="000078E2"/>
    <w:rsid w:val="00007D5E"/>
    <w:rsid w:val="000100A9"/>
    <w:rsid w:val="000105C6"/>
    <w:rsid w:val="00010E5D"/>
    <w:rsid w:val="00010E76"/>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73A"/>
    <w:rsid w:val="00016749"/>
    <w:rsid w:val="00016E99"/>
    <w:rsid w:val="00016EB4"/>
    <w:rsid w:val="00017159"/>
    <w:rsid w:val="0001721B"/>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2B"/>
    <w:rsid w:val="00033BAA"/>
    <w:rsid w:val="00034239"/>
    <w:rsid w:val="00034305"/>
    <w:rsid w:val="0003436D"/>
    <w:rsid w:val="000346C1"/>
    <w:rsid w:val="00035819"/>
    <w:rsid w:val="00035A54"/>
    <w:rsid w:val="00035A6F"/>
    <w:rsid w:val="00035B31"/>
    <w:rsid w:val="00035D65"/>
    <w:rsid w:val="00036512"/>
    <w:rsid w:val="000365C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A4F"/>
    <w:rsid w:val="00043B9C"/>
    <w:rsid w:val="00044C5C"/>
    <w:rsid w:val="00044CD5"/>
    <w:rsid w:val="00045379"/>
    <w:rsid w:val="000457B1"/>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777"/>
    <w:rsid w:val="00051B84"/>
    <w:rsid w:val="00051C1E"/>
    <w:rsid w:val="00051E53"/>
    <w:rsid w:val="0005233A"/>
    <w:rsid w:val="0005237F"/>
    <w:rsid w:val="0005443D"/>
    <w:rsid w:val="00054862"/>
    <w:rsid w:val="000549F0"/>
    <w:rsid w:val="00054C48"/>
    <w:rsid w:val="00054C9F"/>
    <w:rsid w:val="000552DD"/>
    <w:rsid w:val="00055601"/>
    <w:rsid w:val="00055701"/>
    <w:rsid w:val="00055B2A"/>
    <w:rsid w:val="00055B7A"/>
    <w:rsid w:val="000560B8"/>
    <w:rsid w:val="00056172"/>
    <w:rsid w:val="000564BF"/>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7B4"/>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BB3"/>
    <w:rsid w:val="00076EA8"/>
    <w:rsid w:val="00077059"/>
    <w:rsid w:val="0007713F"/>
    <w:rsid w:val="000777BE"/>
    <w:rsid w:val="0007787D"/>
    <w:rsid w:val="00077D0F"/>
    <w:rsid w:val="00077D49"/>
    <w:rsid w:val="000807A3"/>
    <w:rsid w:val="0008095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54A"/>
    <w:rsid w:val="00092D6D"/>
    <w:rsid w:val="00092FFA"/>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AE9"/>
    <w:rsid w:val="000A7B1C"/>
    <w:rsid w:val="000A7B70"/>
    <w:rsid w:val="000A7C19"/>
    <w:rsid w:val="000A7CCB"/>
    <w:rsid w:val="000B0305"/>
    <w:rsid w:val="000B043C"/>
    <w:rsid w:val="000B062F"/>
    <w:rsid w:val="000B09CB"/>
    <w:rsid w:val="000B0C97"/>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C00"/>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E0030"/>
    <w:rsid w:val="000E038F"/>
    <w:rsid w:val="000E045F"/>
    <w:rsid w:val="000E07D1"/>
    <w:rsid w:val="000E0879"/>
    <w:rsid w:val="000E0DAC"/>
    <w:rsid w:val="000E1263"/>
    <w:rsid w:val="000E1296"/>
    <w:rsid w:val="000E20CC"/>
    <w:rsid w:val="000E229F"/>
    <w:rsid w:val="000E2397"/>
    <w:rsid w:val="000E239B"/>
    <w:rsid w:val="000E25C2"/>
    <w:rsid w:val="000E2645"/>
    <w:rsid w:val="000E2A10"/>
    <w:rsid w:val="000E2CAC"/>
    <w:rsid w:val="000E30BF"/>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12E"/>
    <w:rsid w:val="000F07EF"/>
    <w:rsid w:val="000F0954"/>
    <w:rsid w:val="000F120F"/>
    <w:rsid w:val="000F1886"/>
    <w:rsid w:val="000F191F"/>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2C"/>
    <w:rsid w:val="000F5C39"/>
    <w:rsid w:val="000F5F83"/>
    <w:rsid w:val="000F637B"/>
    <w:rsid w:val="000F688F"/>
    <w:rsid w:val="000F6C1D"/>
    <w:rsid w:val="000F6D60"/>
    <w:rsid w:val="000F6E4A"/>
    <w:rsid w:val="000F6EFF"/>
    <w:rsid w:val="000F7532"/>
    <w:rsid w:val="000F756F"/>
    <w:rsid w:val="000F760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08F"/>
    <w:rsid w:val="00104653"/>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7CF"/>
    <w:rsid w:val="00130A00"/>
    <w:rsid w:val="00130B98"/>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761"/>
    <w:rsid w:val="001347FE"/>
    <w:rsid w:val="00134BCE"/>
    <w:rsid w:val="001351D6"/>
    <w:rsid w:val="00135246"/>
    <w:rsid w:val="001357E7"/>
    <w:rsid w:val="00135BD0"/>
    <w:rsid w:val="001367BB"/>
    <w:rsid w:val="00136A36"/>
    <w:rsid w:val="00136FC3"/>
    <w:rsid w:val="001370D6"/>
    <w:rsid w:val="00137202"/>
    <w:rsid w:val="00137346"/>
    <w:rsid w:val="00137606"/>
    <w:rsid w:val="00137A32"/>
    <w:rsid w:val="00137B7F"/>
    <w:rsid w:val="00137BB6"/>
    <w:rsid w:val="00137F24"/>
    <w:rsid w:val="001400AB"/>
    <w:rsid w:val="00140484"/>
    <w:rsid w:val="0014198F"/>
    <w:rsid w:val="00141A9D"/>
    <w:rsid w:val="00141DDC"/>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96"/>
    <w:rsid w:val="0018197E"/>
    <w:rsid w:val="00181982"/>
    <w:rsid w:val="00181C70"/>
    <w:rsid w:val="00181CAF"/>
    <w:rsid w:val="001824AD"/>
    <w:rsid w:val="00182522"/>
    <w:rsid w:val="00182572"/>
    <w:rsid w:val="001827CF"/>
    <w:rsid w:val="00182AA8"/>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74"/>
    <w:rsid w:val="00187A45"/>
    <w:rsid w:val="00187F3B"/>
    <w:rsid w:val="00190185"/>
    <w:rsid w:val="00190287"/>
    <w:rsid w:val="00190472"/>
    <w:rsid w:val="00190524"/>
    <w:rsid w:val="00190590"/>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97B"/>
    <w:rsid w:val="001A5C01"/>
    <w:rsid w:val="001A612F"/>
    <w:rsid w:val="001A625E"/>
    <w:rsid w:val="001A6351"/>
    <w:rsid w:val="001A6BE5"/>
    <w:rsid w:val="001A6C63"/>
    <w:rsid w:val="001A6C65"/>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39B"/>
    <w:rsid w:val="001C168A"/>
    <w:rsid w:val="001C19D8"/>
    <w:rsid w:val="001C1AD3"/>
    <w:rsid w:val="001C1C12"/>
    <w:rsid w:val="001C2B42"/>
    <w:rsid w:val="001C3270"/>
    <w:rsid w:val="001C3749"/>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C7C79"/>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312"/>
    <w:rsid w:val="001D76B8"/>
    <w:rsid w:val="001D7933"/>
    <w:rsid w:val="001D7936"/>
    <w:rsid w:val="001E0277"/>
    <w:rsid w:val="001E0368"/>
    <w:rsid w:val="001E0F75"/>
    <w:rsid w:val="001E120D"/>
    <w:rsid w:val="001E159C"/>
    <w:rsid w:val="001E15A6"/>
    <w:rsid w:val="001E197E"/>
    <w:rsid w:val="001E1AA5"/>
    <w:rsid w:val="001E1B76"/>
    <w:rsid w:val="001E21C9"/>
    <w:rsid w:val="001E27F1"/>
    <w:rsid w:val="001E28EA"/>
    <w:rsid w:val="001E2F2D"/>
    <w:rsid w:val="001E31B2"/>
    <w:rsid w:val="001E37AF"/>
    <w:rsid w:val="001E428C"/>
    <w:rsid w:val="001E439C"/>
    <w:rsid w:val="001E4777"/>
    <w:rsid w:val="001E4861"/>
    <w:rsid w:val="001E5351"/>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50E"/>
    <w:rsid w:val="001F1828"/>
    <w:rsid w:val="001F1A04"/>
    <w:rsid w:val="001F2119"/>
    <w:rsid w:val="001F245F"/>
    <w:rsid w:val="001F257B"/>
    <w:rsid w:val="001F2661"/>
    <w:rsid w:val="001F2826"/>
    <w:rsid w:val="001F284F"/>
    <w:rsid w:val="001F28D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BC1"/>
    <w:rsid w:val="002072BD"/>
    <w:rsid w:val="002073AB"/>
    <w:rsid w:val="00207D92"/>
    <w:rsid w:val="00207E23"/>
    <w:rsid w:val="00207E58"/>
    <w:rsid w:val="0021032F"/>
    <w:rsid w:val="00210368"/>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D1E"/>
    <w:rsid w:val="0023107B"/>
    <w:rsid w:val="00231693"/>
    <w:rsid w:val="00231996"/>
    <w:rsid w:val="002319A9"/>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3F5"/>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7E1"/>
    <w:rsid w:val="0027399D"/>
    <w:rsid w:val="00273AD7"/>
    <w:rsid w:val="00273BD0"/>
    <w:rsid w:val="00273C67"/>
    <w:rsid w:val="00273EFA"/>
    <w:rsid w:val="00275056"/>
    <w:rsid w:val="00275B0A"/>
    <w:rsid w:val="00275F91"/>
    <w:rsid w:val="00275FFB"/>
    <w:rsid w:val="00276248"/>
    <w:rsid w:val="0027631F"/>
    <w:rsid w:val="00276602"/>
    <w:rsid w:val="002766DA"/>
    <w:rsid w:val="002769E5"/>
    <w:rsid w:val="002769FC"/>
    <w:rsid w:val="00276C59"/>
    <w:rsid w:val="0027701A"/>
    <w:rsid w:val="002776C1"/>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1CE"/>
    <w:rsid w:val="002A370E"/>
    <w:rsid w:val="002A4114"/>
    <w:rsid w:val="002A41D0"/>
    <w:rsid w:val="002A45A1"/>
    <w:rsid w:val="002A477E"/>
    <w:rsid w:val="002A4A78"/>
    <w:rsid w:val="002A4F09"/>
    <w:rsid w:val="002A4F9A"/>
    <w:rsid w:val="002A593F"/>
    <w:rsid w:val="002A5F2C"/>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88E"/>
    <w:rsid w:val="002D5E1A"/>
    <w:rsid w:val="002D5F7E"/>
    <w:rsid w:val="002D6277"/>
    <w:rsid w:val="002D6723"/>
    <w:rsid w:val="002D6840"/>
    <w:rsid w:val="002D6C58"/>
    <w:rsid w:val="002D71EF"/>
    <w:rsid w:val="002D723D"/>
    <w:rsid w:val="002D7CFD"/>
    <w:rsid w:val="002D7EA3"/>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AE1"/>
    <w:rsid w:val="00306CDB"/>
    <w:rsid w:val="00306DC9"/>
    <w:rsid w:val="0030703E"/>
    <w:rsid w:val="00307277"/>
    <w:rsid w:val="003072BC"/>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71A8"/>
    <w:rsid w:val="003372DB"/>
    <w:rsid w:val="0033737D"/>
    <w:rsid w:val="00337960"/>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5060"/>
    <w:rsid w:val="003452BC"/>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EFB"/>
    <w:rsid w:val="00352FD9"/>
    <w:rsid w:val="00352FDE"/>
    <w:rsid w:val="003533DE"/>
    <w:rsid w:val="003536B4"/>
    <w:rsid w:val="00353C13"/>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BB"/>
    <w:rsid w:val="003605DA"/>
    <w:rsid w:val="003607E9"/>
    <w:rsid w:val="00360AD1"/>
    <w:rsid w:val="00360B04"/>
    <w:rsid w:val="00360D66"/>
    <w:rsid w:val="00360ED6"/>
    <w:rsid w:val="00361064"/>
    <w:rsid w:val="00361A22"/>
    <w:rsid w:val="0036229C"/>
    <w:rsid w:val="0036299D"/>
    <w:rsid w:val="00362A7E"/>
    <w:rsid w:val="00362A96"/>
    <w:rsid w:val="00362B1D"/>
    <w:rsid w:val="00362D1D"/>
    <w:rsid w:val="00362E9F"/>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D0"/>
    <w:rsid w:val="00367863"/>
    <w:rsid w:val="003678B3"/>
    <w:rsid w:val="00370863"/>
    <w:rsid w:val="003709D6"/>
    <w:rsid w:val="00370BA1"/>
    <w:rsid w:val="00370CF8"/>
    <w:rsid w:val="003710CB"/>
    <w:rsid w:val="00371250"/>
    <w:rsid w:val="0037148D"/>
    <w:rsid w:val="003718F8"/>
    <w:rsid w:val="003725E8"/>
    <w:rsid w:val="00372F9A"/>
    <w:rsid w:val="00373000"/>
    <w:rsid w:val="003733AB"/>
    <w:rsid w:val="00373401"/>
    <w:rsid w:val="0037347B"/>
    <w:rsid w:val="0037347F"/>
    <w:rsid w:val="00373784"/>
    <w:rsid w:val="003738A5"/>
    <w:rsid w:val="00373F4C"/>
    <w:rsid w:val="00374034"/>
    <w:rsid w:val="003743DC"/>
    <w:rsid w:val="00374498"/>
    <w:rsid w:val="003745EA"/>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A6"/>
    <w:rsid w:val="003B117D"/>
    <w:rsid w:val="003B11F3"/>
    <w:rsid w:val="003B1256"/>
    <w:rsid w:val="003B1314"/>
    <w:rsid w:val="003B16D1"/>
    <w:rsid w:val="003B1775"/>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01B"/>
    <w:rsid w:val="003D21DF"/>
    <w:rsid w:val="003D25CE"/>
    <w:rsid w:val="003D264C"/>
    <w:rsid w:val="003D276D"/>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2B9"/>
    <w:rsid w:val="003E0609"/>
    <w:rsid w:val="003E078C"/>
    <w:rsid w:val="003E0845"/>
    <w:rsid w:val="003E0A2F"/>
    <w:rsid w:val="003E0FA0"/>
    <w:rsid w:val="003E1AF1"/>
    <w:rsid w:val="003E1B21"/>
    <w:rsid w:val="003E1CD6"/>
    <w:rsid w:val="003E28D3"/>
    <w:rsid w:val="003E2D41"/>
    <w:rsid w:val="003E3782"/>
    <w:rsid w:val="003E3AC0"/>
    <w:rsid w:val="003E3DF5"/>
    <w:rsid w:val="003E40CA"/>
    <w:rsid w:val="003E4288"/>
    <w:rsid w:val="003E433E"/>
    <w:rsid w:val="003E43A9"/>
    <w:rsid w:val="003E440B"/>
    <w:rsid w:val="003E459A"/>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013"/>
    <w:rsid w:val="003F613D"/>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B4"/>
    <w:rsid w:val="0042324D"/>
    <w:rsid w:val="00423BA1"/>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FF3"/>
    <w:rsid w:val="004315B3"/>
    <w:rsid w:val="0043230C"/>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411D"/>
    <w:rsid w:val="00444201"/>
    <w:rsid w:val="00444351"/>
    <w:rsid w:val="00444615"/>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200"/>
    <w:rsid w:val="00453475"/>
    <w:rsid w:val="00453709"/>
    <w:rsid w:val="0045381A"/>
    <w:rsid w:val="00453A29"/>
    <w:rsid w:val="004540A2"/>
    <w:rsid w:val="0045478A"/>
    <w:rsid w:val="00454AF2"/>
    <w:rsid w:val="00454DFB"/>
    <w:rsid w:val="00454EC3"/>
    <w:rsid w:val="0045518D"/>
    <w:rsid w:val="0045546B"/>
    <w:rsid w:val="00455812"/>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8B0"/>
    <w:rsid w:val="00492799"/>
    <w:rsid w:val="0049294D"/>
    <w:rsid w:val="00493000"/>
    <w:rsid w:val="004931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FE"/>
    <w:rsid w:val="004B503F"/>
    <w:rsid w:val="004B5174"/>
    <w:rsid w:val="004B5282"/>
    <w:rsid w:val="004B53CB"/>
    <w:rsid w:val="004B55A1"/>
    <w:rsid w:val="004B58A5"/>
    <w:rsid w:val="004B5F5F"/>
    <w:rsid w:val="004B609E"/>
    <w:rsid w:val="004B6269"/>
    <w:rsid w:val="004B64B6"/>
    <w:rsid w:val="004B6D8D"/>
    <w:rsid w:val="004B6DEC"/>
    <w:rsid w:val="004B7157"/>
    <w:rsid w:val="004B775B"/>
    <w:rsid w:val="004B7807"/>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71A7"/>
    <w:rsid w:val="004E71DB"/>
    <w:rsid w:val="004E742E"/>
    <w:rsid w:val="004E74F4"/>
    <w:rsid w:val="004E7692"/>
    <w:rsid w:val="004E7CB6"/>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1E3"/>
    <w:rsid w:val="004F6672"/>
    <w:rsid w:val="004F6A77"/>
    <w:rsid w:val="004F6B2E"/>
    <w:rsid w:val="004F6DD2"/>
    <w:rsid w:val="004F736B"/>
    <w:rsid w:val="004F7486"/>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92A"/>
    <w:rsid w:val="00520C25"/>
    <w:rsid w:val="00521158"/>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577"/>
    <w:rsid w:val="005255D7"/>
    <w:rsid w:val="005259BB"/>
    <w:rsid w:val="00525AC9"/>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3428"/>
    <w:rsid w:val="00533608"/>
    <w:rsid w:val="005337A1"/>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939"/>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579"/>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B45"/>
    <w:rsid w:val="00574BA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55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736"/>
    <w:rsid w:val="005C4CF2"/>
    <w:rsid w:val="005C504E"/>
    <w:rsid w:val="005C509D"/>
    <w:rsid w:val="005C5238"/>
    <w:rsid w:val="005C5950"/>
    <w:rsid w:val="005C5C45"/>
    <w:rsid w:val="005C5D06"/>
    <w:rsid w:val="005C61FE"/>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2BD3"/>
    <w:rsid w:val="005D2DD7"/>
    <w:rsid w:val="005D3274"/>
    <w:rsid w:val="005D3691"/>
    <w:rsid w:val="005D385D"/>
    <w:rsid w:val="005D38C6"/>
    <w:rsid w:val="005D3F7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A3C"/>
    <w:rsid w:val="00605E77"/>
    <w:rsid w:val="006061E0"/>
    <w:rsid w:val="00606451"/>
    <w:rsid w:val="00606494"/>
    <w:rsid w:val="0060787E"/>
    <w:rsid w:val="00607B88"/>
    <w:rsid w:val="00607BF9"/>
    <w:rsid w:val="00607D18"/>
    <w:rsid w:val="00607EB5"/>
    <w:rsid w:val="0061061F"/>
    <w:rsid w:val="00610AE8"/>
    <w:rsid w:val="0061167F"/>
    <w:rsid w:val="00611C07"/>
    <w:rsid w:val="00611DE3"/>
    <w:rsid w:val="00611F73"/>
    <w:rsid w:val="00611F95"/>
    <w:rsid w:val="00612BA4"/>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5AE"/>
    <w:rsid w:val="00616743"/>
    <w:rsid w:val="006167C4"/>
    <w:rsid w:val="0061693C"/>
    <w:rsid w:val="00616AB6"/>
    <w:rsid w:val="00616D51"/>
    <w:rsid w:val="0061727A"/>
    <w:rsid w:val="006173E2"/>
    <w:rsid w:val="00617F52"/>
    <w:rsid w:val="00620121"/>
    <w:rsid w:val="0062028A"/>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59D"/>
    <w:rsid w:val="00653A8A"/>
    <w:rsid w:val="00653B4F"/>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77E9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039"/>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9CD"/>
    <w:rsid w:val="006D1B2F"/>
    <w:rsid w:val="006D2061"/>
    <w:rsid w:val="006D2309"/>
    <w:rsid w:val="006D28D3"/>
    <w:rsid w:val="006D2ECF"/>
    <w:rsid w:val="006D2F63"/>
    <w:rsid w:val="006D3772"/>
    <w:rsid w:val="006D3844"/>
    <w:rsid w:val="006D46A1"/>
    <w:rsid w:val="006D4907"/>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E048F"/>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BEB"/>
    <w:rsid w:val="006E4E68"/>
    <w:rsid w:val="006E5291"/>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7004AC"/>
    <w:rsid w:val="007004EE"/>
    <w:rsid w:val="00700B21"/>
    <w:rsid w:val="00700E0A"/>
    <w:rsid w:val="00701471"/>
    <w:rsid w:val="00701672"/>
    <w:rsid w:val="007016C7"/>
    <w:rsid w:val="0070170E"/>
    <w:rsid w:val="00701836"/>
    <w:rsid w:val="00701B82"/>
    <w:rsid w:val="00701BFE"/>
    <w:rsid w:val="00701E8B"/>
    <w:rsid w:val="007021C2"/>
    <w:rsid w:val="007026D0"/>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64D"/>
    <w:rsid w:val="00705748"/>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A2"/>
    <w:rsid w:val="007119DF"/>
    <w:rsid w:val="00711A04"/>
    <w:rsid w:val="00711A0B"/>
    <w:rsid w:val="00711E0D"/>
    <w:rsid w:val="00712073"/>
    <w:rsid w:val="00712D8B"/>
    <w:rsid w:val="00712FDF"/>
    <w:rsid w:val="00713312"/>
    <w:rsid w:val="0071372A"/>
    <w:rsid w:val="00713D21"/>
    <w:rsid w:val="00713FD0"/>
    <w:rsid w:val="0071413E"/>
    <w:rsid w:val="00714D6E"/>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4CE"/>
    <w:rsid w:val="00770552"/>
    <w:rsid w:val="00770AF1"/>
    <w:rsid w:val="00770C69"/>
    <w:rsid w:val="00770FE0"/>
    <w:rsid w:val="0077145F"/>
    <w:rsid w:val="0077191E"/>
    <w:rsid w:val="007721D9"/>
    <w:rsid w:val="00772856"/>
    <w:rsid w:val="00772A55"/>
    <w:rsid w:val="00772C64"/>
    <w:rsid w:val="00772C7D"/>
    <w:rsid w:val="00772F9E"/>
    <w:rsid w:val="00773064"/>
    <w:rsid w:val="00773D2A"/>
    <w:rsid w:val="00773E7A"/>
    <w:rsid w:val="0077420C"/>
    <w:rsid w:val="007745D9"/>
    <w:rsid w:val="00775035"/>
    <w:rsid w:val="0077531A"/>
    <w:rsid w:val="00775855"/>
    <w:rsid w:val="00775C43"/>
    <w:rsid w:val="00775F8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590"/>
    <w:rsid w:val="00791796"/>
    <w:rsid w:val="00791D16"/>
    <w:rsid w:val="007920E8"/>
    <w:rsid w:val="007923FA"/>
    <w:rsid w:val="00792454"/>
    <w:rsid w:val="007929EC"/>
    <w:rsid w:val="00792A30"/>
    <w:rsid w:val="00792BCE"/>
    <w:rsid w:val="00792E03"/>
    <w:rsid w:val="00792E8E"/>
    <w:rsid w:val="00792FD6"/>
    <w:rsid w:val="007930A0"/>
    <w:rsid w:val="00793EFE"/>
    <w:rsid w:val="00793F17"/>
    <w:rsid w:val="00794064"/>
    <w:rsid w:val="00794121"/>
    <w:rsid w:val="007946CD"/>
    <w:rsid w:val="007946E1"/>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313"/>
    <w:rsid w:val="007A4CCD"/>
    <w:rsid w:val="007A4EE8"/>
    <w:rsid w:val="007A5408"/>
    <w:rsid w:val="007A5471"/>
    <w:rsid w:val="007A5659"/>
    <w:rsid w:val="007A574F"/>
    <w:rsid w:val="007A57BA"/>
    <w:rsid w:val="007A57E2"/>
    <w:rsid w:val="007A5808"/>
    <w:rsid w:val="007A6181"/>
    <w:rsid w:val="007A6BD2"/>
    <w:rsid w:val="007A77F7"/>
    <w:rsid w:val="007A7BC6"/>
    <w:rsid w:val="007A7C1E"/>
    <w:rsid w:val="007A7D6E"/>
    <w:rsid w:val="007B01B8"/>
    <w:rsid w:val="007B0366"/>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C019F"/>
    <w:rsid w:val="007C05FE"/>
    <w:rsid w:val="007C07ED"/>
    <w:rsid w:val="007C0B00"/>
    <w:rsid w:val="007C0BC8"/>
    <w:rsid w:val="007C0C61"/>
    <w:rsid w:val="007C0F23"/>
    <w:rsid w:val="007C169F"/>
    <w:rsid w:val="007C18D7"/>
    <w:rsid w:val="007C1B92"/>
    <w:rsid w:val="007C1C86"/>
    <w:rsid w:val="007C2161"/>
    <w:rsid w:val="007C238B"/>
    <w:rsid w:val="007C23C9"/>
    <w:rsid w:val="007C247D"/>
    <w:rsid w:val="007C28CB"/>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516"/>
    <w:rsid w:val="007E180A"/>
    <w:rsid w:val="007E2261"/>
    <w:rsid w:val="007E2610"/>
    <w:rsid w:val="007E266F"/>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753"/>
    <w:rsid w:val="007E589F"/>
    <w:rsid w:val="007E5B3C"/>
    <w:rsid w:val="007E5FCA"/>
    <w:rsid w:val="007E60BA"/>
    <w:rsid w:val="007E60E3"/>
    <w:rsid w:val="007E61CE"/>
    <w:rsid w:val="007E6341"/>
    <w:rsid w:val="007E673A"/>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250B"/>
    <w:rsid w:val="007F283C"/>
    <w:rsid w:val="007F289E"/>
    <w:rsid w:val="007F28ED"/>
    <w:rsid w:val="007F3C1E"/>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0D9D"/>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D9D"/>
    <w:rsid w:val="00827588"/>
    <w:rsid w:val="0082774F"/>
    <w:rsid w:val="00827F46"/>
    <w:rsid w:val="00830AE5"/>
    <w:rsid w:val="00830D4D"/>
    <w:rsid w:val="00830E35"/>
    <w:rsid w:val="00830F01"/>
    <w:rsid w:val="0083119A"/>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9A3"/>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6BA"/>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E8E"/>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87C10"/>
    <w:rsid w:val="00890403"/>
    <w:rsid w:val="00890723"/>
    <w:rsid w:val="00890A4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20FA"/>
    <w:rsid w:val="008A30BE"/>
    <w:rsid w:val="008A3372"/>
    <w:rsid w:val="008A3391"/>
    <w:rsid w:val="008A3402"/>
    <w:rsid w:val="008A35AE"/>
    <w:rsid w:val="008A3FD3"/>
    <w:rsid w:val="008A4132"/>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B22"/>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4CF"/>
    <w:rsid w:val="008E08F5"/>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0F92"/>
    <w:rsid w:val="009010AA"/>
    <w:rsid w:val="00901113"/>
    <w:rsid w:val="009013E0"/>
    <w:rsid w:val="009014B7"/>
    <w:rsid w:val="00901628"/>
    <w:rsid w:val="00901937"/>
    <w:rsid w:val="00901BD6"/>
    <w:rsid w:val="0090262D"/>
    <w:rsid w:val="009028D3"/>
    <w:rsid w:val="00902CC2"/>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3037"/>
    <w:rsid w:val="0091336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154"/>
    <w:rsid w:val="009242C8"/>
    <w:rsid w:val="009247E3"/>
    <w:rsid w:val="00924DF1"/>
    <w:rsid w:val="00925624"/>
    <w:rsid w:val="009258F5"/>
    <w:rsid w:val="00925976"/>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728"/>
    <w:rsid w:val="0094179A"/>
    <w:rsid w:val="0094182F"/>
    <w:rsid w:val="0094216F"/>
    <w:rsid w:val="00942676"/>
    <w:rsid w:val="009427FE"/>
    <w:rsid w:val="009429E9"/>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D67"/>
    <w:rsid w:val="00945ED9"/>
    <w:rsid w:val="00945F7B"/>
    <w:rsid w:val="0094623A"/>
    <w:rsid w:val="009463ED"/>
    <w:rsid w:val="0094657F"/>
    <w:rsid w:val="009466A0"/>
    <w:rsid w:val="009466E9"/>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9B7"/>
    <w:rsid w:val="00956FDD"/>
    <w:rsid w:val="00957633"/>
    <w:rsid w:val="0095768F"/>
    <w:rsid w:val="0095775E"/>
    <w:rsid w:val="00957BD4"/>
    <w:rsid w:val="00957D0F"/>
    <w:rsid w:val="00957E32"/>
    <w:rsid w:val="00960A28"/>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B17"/>
    <w:rsid w:val="00964C6F"/>
    <w:rsid w:val="00965219"/>
    <w:rsid w:val="0096545E"/>
    <w:rsid w:val="00965668"/>
    <w:rsid w:val="00965A91"/>
    <w:rsid w:val="00965B6F"/>
    <w:rsid w:val="00965FD6"/>
    <w:rsid w:val="009662D5"/>
    <w:rsid w:val="00966398"/>
    <w:rsid w:val="0096643F"/>
    <w:rsid w:val="00966805"/>
    <w:rsid w:val="00966C0F"/>
    <w:rsid w:val="00966DD6"/>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5C1"/>
    <w:rsid w:val="00981B36"/>
    <w:rsid w:val="00982095"/>
    <w:rsid w:val="009826C6"/>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16"/>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1A66"/>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64B"/>
    <w:rsid w:val="009E6903"/>
    <w:rsid w:val="009E6ABD"/>
    <w:rsid w:val="009E78CD"/>
    <w:rsid w:val="009E7A78"/>
    <w:rsid w:val="009E7B59"/>
    <w:rsid w:val="009F0020"/>
    <w:rsid w:val="009F046B"/>
    <w:rsid w:val="009F07AA"/>
    <w:rsid w:val="009F0FA6"/>
    <w:rsid w:val="009F0FE6"/>
    <w:rsid w:val="009F1190"/>
    <w:rsid w:val="009F1262"/>
    <w:rsid w:val="009F128C"/>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82"/>
    <w:rsid w:val="00A167FE"/>
    <w:rsid w:val="00A16B93"/>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225"/>
    <w:rsid w:val="00A25693"/>
    <w:rsid w:val="00A25881"/>
    <w:rsid w:val="00A25B75"/>
    <w:rsid w:val="00A260B5"/>
    <w:rsid w:val="00A2618C"/>
    <w:rsid w:val="00A261D0"/>
    <w:rsid w:val="00A26300"/>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B8B"/>
    <w:rsid w:val="00A362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85A"/>
    <w:rsid w:val="00A54DB4"/>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926"/>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6427"/>
    <w:rsid w:val="00A765FC"/>
    <w:rsid w:val="00A76A58"/>
    <w:rsid w:val="00A7705F"/>
    <w:rsid w:val="00A773F4"/>
    <w:rsid w:val="00A77515"/>
    <w:rsid w:val="00A7771D"/>
    <w:rsid w:val="00A77A70"/>
    <w:rsid w:val="00A77AB8"/>
    <w:rsid w:val="00A80035"/>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4C"/>
    <w:rsid w:val="00AA5ECF"/>
    <w:rsid w:val="00AA6068"/>
    <w:rsid w:val="00AA6655"/>
    <w:rsid w:val="00AA696F"/>
    <w:rsid w:val="00AA6A30"/>
    <w:rsid w:val="00AA6EAF"/>
    <w:rsid w:val="00AA718B"/>
    <w:rsid w:val="00AA74C8"/>
    <w:rsid w:val="00AA764E"/>
    <w:rsid w:val="00AB0550"/>
    <w:rsid w:val="00AB0639"/>
    <w:rsid w:val="00AB07BC"/>
    <w:rsid w:val="00AB0A50"/>
    <w:rsid w:val="00AB0E53"/>
    <w:rsid w:val="00AB1B90"/>
    <w:rsid w:val="00AB1C62"/>
    <w:rsid w:val="00AB1D0E"/>
    <w:rsid w:val="00AB21B6"/>
    <w:rsid w:val="00AB2A42"/>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9B"/>
    <w:rsid w:val="00AB68C7"/>
    <w:rsid w:val="00AB70DC"/>
    <w:rsid w:val="00AB72B8"/>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571"/>
    <w:rsid w:val="00AE2634"/>
    <w:rsid w:val="00AE2FE1"/>
    <w:rsid w:val="00AE35BE"/>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1DB"/>
    <w:rsid w:val="00AF0903"/>
    <w:rsid w:val="00AF0976"/>
    <w:rsid w:val="00AF0B06"/>
    <w:rsid w:val="00AF1020"/>
    <w:rsid w:val="00AF11E0"/>
    <w:rsid w:val="00AF1660"/>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2BA"/>
    <w:rsid w:val="00B063A4"/>
    <w:rsid w:val="00B06961"/>
    <w:rsid w:val="00B06EA2"/>
    <w:rsid w:val="00B07089"/>
    <w:rsid w:val="00B07241"/>
    <w:rsid w:val="00B0742F"/>
    <w:rsid w:val="00B07706"/>
    <w:rsid w:val="00B07755"/>
    <w:rsid w:val="00B07A90"/>
    <w:rsid w:val="00B07F8F"/>
    <w:rsid w:val="00B10037"/>
    <w:rsid w:val="00B10501"/>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68"/>
    <w:rsid w:val="00B420EE"/>
    <w:rsid w:val="00B42C1B"/>
    <w:rsid w:val="00B431AA"/>
    <w:rsid w:val="00B435DE"/>
    <w:rsid w:val="00B4371C"/>
    <w:rsid w:val="00B43956"/>
    <w:rsid w:val="00B43D0A"/>
    <w:rsid w:val="00B440D2"/>
    <w:rsid w:val="00B4433B"/>
    <w:rsid w:val="00B44376"/>
    <w:rsid w:val="00B44603"/>
    <w:rsid w:val="00B446C1"/>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5F7"/>
    <w:rsid w:val="00B55631"/>
    <w:rsid w:val="00B5586C"/>
    <w:rsid w:val="00B558AF"/>
    <w:rsid w:val="00B559AB"/>
    <w:rsid w:val="00B55DD9"/>
    <w:rsid w:val="00B56A2A"/>
    <w:rsid w:val="00B56CFA"/>
    <w:rsid w:val="00B570DE"/>
    <w:rsid w:val="00B57A76"/>
    <w:rsid w:val="00B57AE8"/>
    <w:rsid w:val="00B57B9F"/>
    <w:rsid w:val="00B57C45"/>
    <w:rsid w:val="00B57F73"/>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4B"/>
    <w:rsid w:val="00B740CE"/>
    <w:rsid w:val="00B744A7"/>
    <w:rsid w:val="00B74D99"/>
    <w:rsid w:val="00B75E06"/>
    <w:rsid w:val="00B7660F"/>
    <w:rsid w:val="00B76799"/>
    <w:rsid w:val="00B76A60"/>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6E2"/>
    <w:rsid w:val="00B83938"/>
    <w:rsid w:val="00B83AB6"/>
    <w:rsid w:val="00B83BC4"/>
    <w:rsid w:val="00B83E47"/>
    <w:rsid w:val="00B84247"/>
    <w:rsid w:val="00B845AF"/>
    <w:rsid w:val="00B845BB"/>
    <w:rsid w:val="00B8474C"/>
    <w:rsid w:val="00B85094"/>
    <w:rsid w:val="00B851B8"/>
    <w:rsid w:val="00B851E8"/>
    <w:rsid w:val="00B854F0"/>
    <w:rsid w:val="00B8565B"/>
    <w:rsid w:val="00B85C60"/>
    <w:rsid w:val="00B85E33"/>
    <w:rsid w:val="00B85F5A"/>
    <w:rsid w:val="00B8641B"/>
    <w:rsid w:val="00B86713"/>
    <w:rsid w:val="00B86A4A"/>
    <w:rsid w:val="00B86F1E"/>
    <w:rsid w:val="00B87056"/>
    <w:rsid w:val="00B87306"/>
    <w:rsid w:val="00B87444"/>
    <w:rsid w:val="00B877CF"/>
    <w:rsid w:val="00B87AF7"/>
    <w:rsid w:val="00B90635"/>
    <w:rsid w:val="00B90F6F"/>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E0148"/>
    <w:rsid w:val="00BE09B8"/>
    <w:rsid w:val="00BE0C97"/>
    <w:rsid w:val="00BE0E1C"/>
    <w:rsid w:val="00BE1A02"/>
    <w:rsid w:val="00BE1AF9"/>
    <w:rsid w:val="00BE1CB8"/>
    <w:rsid w:val="00BE22E4"/>
    <w:rsid w:val="00BE2549"/>
    <w:rsid w:val="00BE28C0"/>
    <w:rsid w:val="00BE294F"/>
    <w:rsid w:val="00BE2CB4"/>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B40"/>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B94"/>
    <w:rsid w:val="00C07DC0"/>
    <w:rsid w:val="00C07EA0"/>
    <w:rsid w:val="00C10226"/>
    <w:rsid w:val="00C10241"/>
    <w:rsid w:val="00C10534"/>
    <w:rsid w:val="00C10C79"/>
    <w:rsid w:val="00C10CAA"/>
    <w:rsid w:val="00C10FD0"/>
    <w:rsid w:val="00C112F6"/>
    <w:rsid w:val="00C114FF"/>
    <w:rsid w:val="00C11642"/>
    <w:rsid w:val="00C11899"/>
    <w:rsid w:val="00C11AF5"/>
    <w:rsid w:val="00C1236A"/>
    <w:rsid w:val="00C1292E"/>
    <w:rsid w:val="00C12D25"/>
    <w:rsid w:val="00C13095"/>
    <w:rsid w:val="00C134BC"/>
    <w:rsid w:val="00C13950"/>
    <w:rsid w:val="00C13F9A"/>
    <w:rsid w:val="00C14572"/>
    <w:rsid w:val="00C148E4"/>
    <w:rsid w:val="00C14A24"/>
    <w:rsid w:val="00C150C9"/>
    <w:rsid w:val="00C153A1"/>
    <w:rsid w:val="00C1574F"/>
    <w:rsid w:val="00C1577D"/>
    <w:rsid w:val="00C15BA8"/>
    <w:rsid w:val="00C16A91"/>
    <w:rsid w:val="00C16FFC"/>
    <w:rsid w:val="00C17088"/>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60"/>
    <w:rsid w:val="00C23F9A"/>
    <w:rsid w:val="00C23FBF"/>
    <w:rsid w:val="00C23FD9"/>
    <w:rsid w:val="00C2409C"/>
    <w:rsid w:val="00C241E6"/>
    <w:rsid w:val="00C2487A"/>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CD9"/>
    <w:rsid w:val="00C40272"/>
    <w:rsid w:val="00C4099C"/>
    <w:rsid w:val="00C40C0B"/>
    <w:rsid w:val="00C4103B"/>
    <w:rsid w:val="00C41127"/>
    <w:rsid w:val="00C414F7"/>
    <w:rsid w:val="00C416B7"/>
    <w:rsid w:val="00C418AA"/>
    <w:rsid w:val="00C41AFD"/>
    <w:rsid w:val="00C4218A"/>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54D"/>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34"/>
    <w:rsid w:val="00C545AA"/>
    <w:rsid w:val="00C54943"/>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70054"/>
    <w:rsid w:val="00C7020C"/>
    <w:rsid w:val="00C7043B"/>
    <w:rsid w:val="00C70812"/>
    <w:rsid w:val="00C70A23"/>
    <w:rsid w:val="00C70E47"/>
    <w:rsid w:val="00C71F16"/>
    <w:rsid w:val="00C7262B"/>
    <w:rsid w:val="00C726A2"/>
    <w:rsid w:val="00C72ACE"/>
    <w:rsid w:val="00C72AE3"/>
    <w:rsid w:val="00C72F8E"/>
    <w:rsid w:val="00C7323D"/>
    <w:rsid w:val="00C73503"/>
    <w:rsid w:val="00C73569"/>
    <w:rsid w:val="00C73627"/>
    <w:rsid w:val="00C7386D"/>
    <w:rsid w:val="00C73914"/>
    <w:rsid w:val="00C74549"/>
    <w:rsid w:val="00C74C6C"/>
    <w:rsid w:val="00C75013"/>
    <w:rsid w:val="00C75657"/>
    <w:rsid w:val="00C760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DB"/>
    <w:rsid w:val="00C9317A"/>
    <w:rsid w:val="00C9370C"/>
    <w:rsid w:val="00C93C1E"/>
    <w:rsid w:val="00C944AD"/>
    <w:rsid w:val="00C947F6"/>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77B"/>
    <w:rsid w:val="00CC2B24"/>
    <w:rsid w:val="00CC3124"/>
    <w:rsid w:val="00CC3648"/>
    <w:rsid w:val="00CC395B"/>
    <w:rsid w:val="00CC3A8E"/>
    <w:rsid w:val="00CC3B7E"/>
    <w:rsid w:val="00CC3BB9"/>
    <w:rsid w:val="00CC3CEE"/>
    <w:rsid w:val="00CC3EC6"/>
    <w:rsid w:val="00CC3EFD"/>
    <w:rsid w:val="00CC4BC8"/>
    <w:rsid w:val="00CC4C31"/>
    <w:rsid w:val="00CC4F87"/>
    <w:rsid w:val="00CC52AD"/>
    <w:rsid w:val="00CC54E2"/>
    <w:rsid w:val="00CC568B"/>
    <w:rsid w:val="00CC615A"/>
    <w:rsid w:val="00CC61A1"/>
    <w:rsid w:val="00CC6567"/>
    <w:rsid w:val="00CC6749"/>
    <w:rsid w:val="00CC6771"/>
    <w:rsid w:val="00CC6ABD"/>
    <w:rsid w:val="00CC6AF7"/>
    <w:rsid w:val="00CC6BBC"/>
    <w:rsid w:val="00CC6E5C"/>
    <w:rsid w:val="00CC70D4"/>
    <w:rsid w:val="00CC713E"/>
    <w:rsid w:val="00CC71CF"/>
    <w:rsid w:val="00CC7979"/>
    <w:rsid w:val="00CC7E65"/>
    <w:rsid w:val="00CC7EF5"/>
    <w:rsid w:val="00CD00AF"/>
    <w:rsid w:val="00CD0449"/>
    <w:rsid w:val="00CD05A2"/>
    <w:rsid w:val="00CD0A6C"/>
    <w:rsid w:val="00CD1535"/>
    <w:rsid w:val="00CD1FB6"/>
    <w:rsid w:val="00CD214D"/>
    <w:rsid w:val="00CD244F"/>
    <w:rsid w:val="00CD2559"/>
    <w:rsid w:val="00CD27D1"/>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210E"/>
    <w:rsid w:val="00CE27F3"/>
    <w:rsid w:val="00CE2D9D"/>
    <w:rsid w:val="00CE3158"/>
    <w:rsid w:val="00CE35B2"/>
    <w:rsid w:val="00CE3933"/>
    <w:rsid w:val="00CE42A3"/>
    <w:rsid w:val="00CE4608"/>
    <w:rsid w:val="00CE4B3E"/>
    <w:rsid w:val="00CE5259"/>
    <w:rsid w:val="00CE5349"/>
    <w:rsid w:val="00CE5520"/>
    <w:rsid w:val="00CE5606"/>
    <w:rsid w:val="00CE59F0"/>
    <w:rsid w:val="00CE5A67"/>
    <w:rsid w:val="00CE5AFB"/>
    <w:rsid w:val="00CE5E37"/>
    <w:rsid w:val="00CE5ED0"/>
    <w:rsid w:val="00CE6607"/>
    <w:rsid w:val="00CE701D"/>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8D5"/>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95"/>
    <w:rsid w:val="00D021EA"/>
    <w:rsid w:val="00D0255E"/>
    <w:rsid w:val="00D02588"/>
    <w:rsid w:val="00D025EB"/>
    <w:rsid w:val="00D02BE8"/>
    <w:rsid w:val="00D02E63"/>
    <w:rsid w:val="00D03071"/>
    <w:rsid w:val="00D033C3"/>
    <w:rsid w:val="00D0349E"/>
    <w:rsid w:val="00D03AE9"/>
    <w:rsid w:val="00D03BD5"/>
    <w:rsid w:val="00D03DC4"/>
    <w:rsid w:val="00D03F56"/>
    <w:rsid w:val="00D03FFC"/>
    <w:rsid w:val="00D044BD"/>
    <w:rsid w:val="00D04FB4"/>
    <w:rsid w:val="00D0544A"/>
    <w:rsid w:val="00D0588A"/>
    <w:rsid w:val="00D05907"/>
    <w:rsid w:val="00D05FDA"/>
    <w:rsid w:val="00D05FE3"/>
    <w:rsid w:val="00D06298"/>
    <w:rsid w:val="00D063E8"/>
    <w:rsid w:val="00D068DA"/>
    <w:rsid w:val="00D0710F"/>
    <w:rsid w:val="00D07EB7"/>
    <w:rsid w:val="00D1011A"/>
    <w:rsid w:val="00D102F2"/>
    <w:rsid w:val="00D10C4A"/>
    <w:rsid w:val="00D1106D"/>
    <w:rsid w:val="00D11815"/>
    <w:rsid w:val="00D118E7"/>
    <w:rsid w:val="00D11AF7"/>
    <w:rsid w:val="00D11CF8"/>
    <w:rsid w:val="00D129AC"/>
    <w:rsid w:val="00D129CB"/>
    <w:rsid w:val="00D12FA1"/>
    <w:rsid w:val="00D1339B"/>
    <w:rsid w:val="00D13852"/>
    <w:rsid w:val="00D139E8"/>
    <w:rsid w:val="00D1421B"/>
    <w:rsid w:val="00D158C3"/>
    <w:rsid w:val="00D158C4"/>
    <w:rsid w:val="00D15BDD"/>
    <w:rsid w:val="00D15EDA"/>
    <w:rsid w:val="00D16E2F"/>
    <w:rsid w:val="00D16FBD"/>
    <w:rsid w:val="00D16FE4"/>
    <w:rsid w:val="00D170B6"/>
    <w:rsid w:val="00D17378"/>
    <w:rsid w:val="00D1751F"/>
    <w:rsid w:val="00D17613"/>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A01"/>
    <w:rsid w:val="00D27A94"/>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EC9"/>
    <w:rsid w:val="00D52838"/>
    <w:rsid w:val="00D5357C"/>
    <w:rsid w:val="00D5378B"/>
    <w:rsid w:val="00D53807"/>
    <w:rsid w:val="00D5389A"/>
    <w:rsid w:val="00D53F1F"/>
    <w:rsid w:val="00D544E4"/>
    <w:rsid w:val="00D547F6"/>
    <w:rsid w:val="00D54F31"/>
    <w:rsid w:val="00D550FF"/>
    <w:rsid w:val="00D557AB"/>
    <w:rsid w:val="00D56220"/>
    <w:rsid w:val="00D5687A"/>
    <w:rsid w:val="00D56BBC"/>
    <w:rsid w:val="00D56CE7"/>
    <w:rsid w:val="00D56DE4"/>
    <w:rsid w:val="00D571B0"/>
    <w:rsid w:val="00D571F8"/>
    <w:rsid w:val="00D5792F"/>
    <w:rsid w:val="00D57AC8"/>
    <w:rsid w:val="00D57BE5"/>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462"/>
    <w:rsid w:val="00D7792A"/>
    <w:rsid w:val="00D77B06"/>
    <w:rsid w:val="00D77EEE"/>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91A"/>
    <w:rsid w:val="00D84D2E"/>
    <w:rsid w:val="00D85A29"/>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06"/>
    <w:rsid w:val="00D87342"/>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857"/>
    <w:rsid w:val="00D9792C"/>
    <w:rsid w:val="00D97BAB"/>
    <w:rsid w:val="00D97DA3"/>
    <w:rsid w:val="00DA028B"/>
    <w:rsid w:val="00DA02A8"/>
    <w:rsid w:val="00DA1413"/>
    <w:rsid w:val="00DA1612"/>
    <w:rsid w:val="00DA184C"/>
    <w:rsid w:val="00DA1951"/>
    <w:rsid w:val="00DA1F66"/>
    <w:rsid w:val="00DA206D"/>
    <w:rsid w:val="00DA20E2"/>
    <w:rsid w:val="00DA210D"/>
    <w:rsid w:val="00DA2565"/>
    <w:rsid w:val="00DA28D1"/>
    <w:rsid w:val="00DA299D"/>
    <w:rsid w:val="00DA2A79"/>
    <w:rsid w:val="00DA2E87"/>
    <w:rsid w:val="00DA313C"/>
    <w:rsid w:val="00DA340E"/>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9BF"/>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4E39"/>
    <w:rsid w:val="00DB50EE"/>
    <w:rsid w:val="00DB513B"/>
    <w:rsid w:val="00DB5917"/>
    <w:rsid w:val="00DB5A66"/>
    <w:rsid w:val="00DB5AF5"/>
    <w:rsid w:val="00DB5B18"/>
    <w:rsid w:val="00DB67F5"/>
    <w:rsid w:val="00DB6C66"/>
    <w:rsid w:val="00DB6DD5"/>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F9B"/>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99B"/>
    <w:rsid w:val="00E16D18"/>
    <w:rsid w:val="00E170A4"/>
    <w:rsid w:val="00E170B7"/>
    <w:rsid w:val="00E17348"/>
    <w:rsid w:val="00E17650"/>
    <w:rsid w:val="00E20034"/>
    <w:rsid w:val="00E20059"/>
    <w:rsid w:val="00E20398"/>
    <w:rsid w:val="00E206CE"/>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6501"/>
    <w:rsid w:val="00E26DFC"/>
    <w:rsid w:val="00E26E4A"/>
    <w:rsid w:val="00E26E5E"/>
    <w:rsid w:val="00E26F66"/>
    <w:rsid w:val="00E270C6"/>
    <w:rsid w:val="00E271F7"/>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8DF"/>
    <w:rsid w:val="00E35D59"/>
    <w:rsid w:val="00E36185"/>
    <w:rsid w:val="00E3624A"/>
    <w:rsid w:val="00E36A9A"/>
    <w:rsid w:val="00E36C8D"/>
    <w:rsid w:val="00E36D9F"/>
    <w:rsid w:val="00E36DDD"/>
    <w:rsid w:val="00E36E93"/>
    <w:rsid w:val="00E37568"/>
    <w:rsid w:val="00E376D1"/>
    <w:rsid w:val="00E377C1"/>
    <w:rsid w:val="00E37D8A"/>
    <w:rsid w:val="00E40217"/>
    <w:rsid w:val="00E4054A"/>
    <w:rsid w:val="00E41D00"/>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6C55"/>
    <w:rsid w:val="00E5700F"/>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899"/>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7630"/>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734"/>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6F"/>
    <w:rsid w:val="00F10597"/>
    <w:rsid w:val="00F1065B"/>
    <w:rsid w:val="00F107D5"/>
    <w:rsid w:val="00F10BD6"/>
    <w:rsid w:val="00F11010"/>
    <w:rsid w:val="00F1187B"/>
    <w:rsid w:val="00F11940"/>
    <w:rsid w:val="00F11F03"/>
    <w:rsid w:val="00F11FCF"/>
    <w:rsid w:val="00F120CC"/>
    <w:rsid w:val="00F126B0"/>
    <w:rsid w:val="00F126D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809"/>
    <w:rsid w:val="00F46D5F"/>
    <w:rsid w:val="00F46DDD"/>
    <w:rsid w:val="00F4741D"/>
    <w:rsid w:val="00F474EE"/>
    <w:rsid w:val="00F479BB"/>
    <w:rsid w:val="00F47A99"/>
    <w:rsid w:val="00F47A9B"/>
    <w:rsid w:val="00F501B5"/>
    <w:rsid w:val="00F501FE"/>
    <w:rsid w:val="00F50377"/>
    <w:rsid w:val="00F50568"/>
    <w:rsid w:val="00F50809"/>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4F1"/>
    <w:rsid w:val="00F55EE3"/>
    <w:rsid w:val="00F56047"/>
    <w:rsid w:val="00F560CC"/>
    <w:rsid w:val="00F56518"/>
    <w:rsid w:val="00F5694F"/>
    <w:rsid w:val="00F56DC3"/>
    <w:rsid w:val="00F57538"/>
    <w:rsid w:val="00F578E7"/>
    <w:rsid w:val="00F57D78"/>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E51"/>
    <w:rsid w:val="00F703D6"/>
    <w:rsid w:val="00F7055F"/>
    <w:rsid w:val="00F70837"/>
    <w:rsid w:val="00F71208"/>
    <w:rsid w:val="00F717CA"/>
    <w:rsid w:val="00F7184F"/>
    <w:rsid w:val="00F71DDE"/>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62C"/>
    <w:rsid w:val="00F74685"/>
    <w:rsid w:val="00F74777"/>
    <w:rsid w:val="00F748AA"/>
    <w:rsid w:val="00F74966"/>
    <w:rsid w:val="00F74DD6"/>
    <w:rsid w:val="00F74E62"/>
    <w:rsid w:val="00F74F1C"/>
    <w:rsid w:val="00F74F46"/>
    <w:rsid w:val="00F75444"/>
    <w:rsid w:val="00F7564C"/>
    <w:rsid w:val="00F75DD7"/>
    <w:rsid w:val="00F7602C"/>
    <w:rsid w:val="00F760C5"/>
    <w:rsid w:val="00F761F7"/>
    <w:rsid w:val="00F76556"/>
    <w:rsid w:val="00F76E03"/>
    <w:rsid w:val="00F776EB"/>
    <w:rsid w:val="00F7772C"/>
    <w:rsid w:val="00F77911"/>
    <w:rsid w:val="00F77945"/>
    <w:rsid w:val="00F7797E"/>
    <w:rsid w:val="00F77A06"/>
    <w:rsid w:val="00F77BAC"/>
    <w:rsid w:val="00F77BF4"/>
    <w:rsid w:val="00F77D53"/>
    <w:rsid w:val="00F80255"/>
    <w:rsid w:val="00F8039B"/>
    <w:rsid w:val="00F805D3"/>
    <w:rsid w:val="00F80A78"/>
    <w:rsid w:val="00F8163D"/>
    <w:rsid w:val="00F81E79"/>
    <w:rsid w:val="00F82086"/>
    <w:rsid w:val="00F821C3"/>
    <w:rsid w:val="00F82A7E"/>
    <w:rsid w:val="00F82C87"/>
    <w:rsid w:val="00F82D8E"/>
    <w:rsid w:val="00F82FC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AE3"/>
    <w:rsid w:val="00FE6D7D"/>
    <w:rsid w:val="00FE7492"/>
    <w:rsid w:val="00FF06FF"/>
    <w:rsid w:val="00FF0D71"/>
    <w:rsid w:val="00FF11DD"/>
    <w:rsid w:val="00FF127F"/>
    <w:rsid w:val="00FF1704"/>
    <w:rsid w:val="00FF17A4"/>
    <w:rsid w:val="00FF19AC"/>
    <w:rsid w:val="00FF1DBB"/>
    <w:rsid w:val="00FF2CCA"/>
    <w:rsid w:val="00FF2D68"/>
    <w:rsid w:val="00FF2DC8"/>
    <w:rsid w:val="00FF34FD"/>
    <w:rsid w:val="00FF37C9"/>
    <w:rsid w:val="00FF3944"/>
    <w:rsid w:val="00FF39D8"/>
    <w:rsid w:val="00FF3D7E"/>
    <w:rsid w:val="00FF4CFF"/>
    <w:rsid w:val="00FF4D5A"/>
    <w:rsid w:val="00FF4FA8"/>
    <w:rsid w:val="00FF5F99"/>
    <w:rsid w:val="00FF5FE1"/>
    <w:rsid w:val="00FF6363"/>
    <w:rsid w:val="00FF642D"/>
    <w:rsid w:val="00FF66E2"/>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E990E1"/>
  <w15:chartTrackingRefBased/>
  <w15:docId w15:val="{9C6C7725-8D43-4EDD-97DE-328CB0CF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돋움" w:hAnsi="Arial"/>
      <w:sz w:val="18"/>
      <w:szCs w:val="18"/>
    </w:rPr>
  </w:style>
  <w:style w:type="paragraph" w:customStyle="1" w:styleId="indent10">
    <w:name w:val="indent 1"/>
    <w:basedOn w:val="Normal"/>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Normal"/>
    <w:pPr>
      <w:widowControl/>
    </w:pPr>
    <w:rPr>
      <w:rFonts w:eastAsia="바탕"/>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목록 단락 Char,リスト段落 Char,列出段落 Char,?? ?? Char,????? Char,???? Char"/>
    <w:link w:val="ListParagraph"/>
    <w:uiPriority w:val="34"/>
    <w:qFormat/>
    <w:rsid w:val="0064397A"/>
    <w:rPr>
      <w:rFonts w:eastAsia="SimSun"/>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165AE"/>
    <w:rPr>
      <w:rFonts w:ascii="Arial" w:hAnsi="Arial"/>
      <w:sz w:val="36"/>
      <w:lang w:val="en-GB" w:eastAsia="en-US"/>
    </w:rPr>
  </w:style>
  <w:style w:type="paragraph" w:styleId="Title">
    <w:name w:val="Title"/>
    <w:basedOn w:val="Normal"/>
    <w:next w:val="Normal"/>
    <w:link w:val="TitleChar"/>
    <w:qFormat/>
    <w:rsid w:val="006165AE"/>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165A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33399-D8A5-4427-A689-17E29CF7E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subject/>
  <dc:creator>Samsung</dc:creator>
  <cp:keywords/>
  <dc:description/>
  <cp:lastModifiedBy>오진영/글로벌표준팀(SR)/Senior Engineer/삼성전자</cp:lastModifiedBy>
  <cp:revision>4</cp:revision>
  <cp:lastPrinted>2010-04-05T01:18:00Z</cp:lastPrinted>
  <dcterms:created xsi:type="dcterms:W3CDTF">2018-04-05T00:19:00Z</dcterms:created>
  <dcterms:modified xsi:type="dcterms:W3CDTF">2018-04-06T05:36:00Z</dcterms:modified>
</cp:coreProperties>
</file>